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85.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1255"/>
        <w:gridCol w:w="1440"/>
        <w:gridCol w:w="1890"/>
        <w:gridCol w:w="1710"/>
        <w:gridCol w:w="1800"/>
        <w:gridCol w:w="2260"/>
        <w:gridCol w:w="4130"/>
        <w:tblGridChange w:id="0">
          <w:tblGrid>
            <w:gridCol w:w="1255"/>
            <w:gridCol w:w="1440"/>
            <w:gridCol w:w="1890"/>
            <w:gridCol w:w="1710"/>
            <w:gridCol w:w="1800"/>
            <w:gridCol w:w="2260"/>
            <w:gridCol w:w="4130"/>
          </w:tblGrid>
        </w:tblGridChange>
      </w:tblGrid>
      <w:tr>
        <w:trPr>
          <w:trHeight w:val="710" w:hRule="atLeast"/>
        </w:trPr>
        <w:tc>
          <w:tcPr/>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Country</w:t>
            </w:r>
          </w:p>
        </w:tc>
        <w:tc>
          <w:tcPr/>
          <w:p w:rsidR="00000000" w:rsidDel="00000000" w:rsidP="00000000" w:rsidRDefault="00000000" w:rsidRPr="00000000" w14:paraId="00000003">
            <w:pPr>
              <w:jc w:val="center"/>
              <w:rPr/>
            </w:pPr>
            <w:r w:rsidDel="00000000" w:rsidR="00000000" w:rsidRPr="00000000">
              <w:rPr>
                <w:rtl w:val="0"/>
              </w:rPr>
              <w:t xml:space="preserve">Population</w:t>
            </w:r>
            <w:r w:rsidDel="00000000" w:rsidR="00000000" w:rsidRPr="00000000">
              <w:rPr>
                <w:vertAlign w:val="superscript"/>
              </w:rPr>
              <w:footnoteReference w:customMarkFollows="0" w:id="0"/>
            </w:r>
            <w:r w:rsidDel="00000000" w:rsidR="00000000" w:rsidRPr="00000000">
              <w:rPr>
                <w:rtl w:val="0"/>
              </w:rPr>
            </w:r>
          </w:p>
        </w:tc>
        <w:tc>
          <w:tcPr/>
          <w:p w:rsidR="00000000" w:rsidDel="00000000" w:rsidP="00000000" w:rsidRDefault="00000000" w:rsidRPr="00000000" w14:paraId="00000004">
            <w:pPr>
              <w:jc w:val="center"/>
              <w:rPr/>
            </w:pPr>
            <w:r w:rsidDel="00000000" w:rsidR="00000000" w:rsidRPr="00000000">
              <w:rPr>
                <w:rtl w:val="0"/>
              </w:rPr>
              <w:t xml:space="preserve">Expiration Date</w:t>
            </w:r>
          </w:p>
        </w:tc>
        <w:tc>
          <w:tcPr/>
          <w:p w:rsidR="00000000" w:rsidDel="00000000" w:rsidP="00000000" w:rsidRDefault="00000000" w:rsidRPr="00000000" w14:paraId="00000005">
            <w:pPr>
              <w:jc w:val="center"/>
              <w:rPr/>
            </w:pPr>
            <w:r w:rsidDel="00000000" w:rsidR="00000000" w:rsidRPr="00000000">
              <w:rPr>
                <w:rtl w:val="0"/>
              </w:rPr>
              <w:t xml:space="preserve">Decision Date</w:t>
            </w:r>
            <w:r w:rsidDel="00000000" w:rsidR="00000000" w:rsidRPr="00000000">
              <w:rPr>
                <w:vertAlign w:val="superscript"/>
              </w:rPr>
              <w:footnoteReference w:customMarkFollows="0" w:id="1"/>
            </w:r>
            <w:r w:rsidDel="00000000" w:rsidR="00000000" w:rsidRPr="00000000">
              <w:rPr>
                <w:rtl w:val="0"/>
              </w:rPr>
            </w:r>
          </w:p>
        </w:tc>
        <w:tc>
          <w:tcPr/>
          <w:p w:rsidR="00000000" w:rsidDel="00000000" w:rsidP="00000000" w:rsidRDefault="00000000" w:rsidRPr="00000000" w14:paraId="00000006">
            <w:pPr>
              <w:jc w:val="center"/>
              <w:rPr/>
            </w:pPr>
            <w:r w:rsidDel="00000000" w:rsidR="00000000" w:rsidRPr="00000000">
              <w:rPr>
                <w:rtl w:val="0"/>
              </w:rPr>
              <w:t xml:space="preserve">Original Designation</w:t>
            </w:r>
          </w:p>
        </w:tc>
        <w:tc>
          <w:tcPr/>
          <w:p w:rsidR="00000000" w:rsidDel="00000000" w:rsidP="00000000" w:rsidRDefault="00000000" w:rsidRPr="00000000" w14:paraId="00000007">
            <w:pPr>
              <w:jc w:val="center"/>
              <w:rPr>
                <w:b w:val="0"/>
              </w:rPr>
            </w:pPr>
            <w:r w:rsidDel="00000000" w:rsidR="00000000" w:rsidRPr="00000000">
              <w:rPr>
                <w:rtl w:val="0"/>
              </w:rPr>
              <w:t xml:space="preserve">TPS Redesignations</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(if any)</w:t>
            </w:r>
          </w:p>
        </w:tc>
        <w:tc>
          <w:tcPr/>
          <w:p w:rsidR="00000000" w:rsidDel="00000000" w:rsidP="00000000" w:rsidRDefault="00000000" w:rsidRPr="00000000" w14:paraId="00000009">
            <w:pPr>
              <w:jc w:val="center"/>
              <w:rPr>
                <w:b w:val="0"/>
              </w:rPr>
            </w:pPr>
            <w:r w:rsidDel="00000000" w:rsidR="00000000" w:rsidRPr="00000000">
              <w:rPr>
                <w:rtl w:val="0"/>
              </w:rPr>
              <w:t xml:space="preserve">Type of Designation</w:t>
            </w:r>
            <w:r w:rsidDel="00000000" w:rsidR="00000000" w:rsidRPr="00000000">
              <w:rPr>
                <w:rtl w:val="0"/>
              </w:rPr>
            </w:r>
          </w:p>
          <w:p w:rsidR="00000000" w:rsidDel="00000000" w:rsidP="00000000" w:rsidRDefault="00000000" w:rsidRPr="00000000" w14:paraId="0000000A">
            <w:pPr>
              <w:rPr>
                <w:b w:val="0"/>
              </w:rPr>
            </w:pPr>
            <w:r w:rsidDel="00000000" w:rsidR="00000000" w:rsidRPr="00000000">
              <w:rPr>
                <w:rtl w:val="0"/>
              </w:rPr>
            </w:r>
          </w:p>
        </w:tc>
      </w:tr>
      <w:tr>
        <w:trPr>
          <w:trHeight w:val="436" w:hRule="atLeast"/>
        </w:trPr>
        <w:tc>
          <w:tcPr/>
          <w:p w:rsidR="00000000" w:rsidDel="00000000" w:rsidP="00000000" w:rsidRDefault="00000000" w:rsidRPr="00000000" w14:paraId="0000000B">
            <w:pPr>
              <w:rPr>
                <w:sz w:val="24"/>
                <w:szCs w:val="24"/>
              </w:rPr>
            </w:pPr>
            <w:r w:rsidDel="00000000" w:rsidR="00000000" w:rsidRPr="00000000">
              <w:rPr>
                <w:sz w:val="24"/>
                <w:szCs w:val="24"/>
                <w:rtl w:val="0"/>
              </w:rPr>
              <w:t xml:space="preserve">Somalia</w:t>
            </w:r>
          </w:p>
        </w:tc>
        <w:tc>
          <w:tcPr/>
          <w:p w:rsidR="00000000" w:rsidDel="00000000" w:rsidP="00000000" w:rsidRDefault="00000000" w:rsidRPr="00000000" w14:paraId="0000000C">
            <w:pPr>
              <w:rPr/>
            </w:pPr>
            <w:r w:rsidDel="00000000" w:rsidR="00000000" w:rsidRPr="00000000">
              <w:rPr>
                <w:rtl w:val="0"/>
              </w:rPr>
              <w:t xml:space="preserve">500</w:t>
            </w:r>
          </w:p>
        </w:tc>
        <w:tc>
          <w:tcPr/>
          <w:p w:rsidR="00000000" w:rsidDel="00000000" w:rsidP="00000000" w:rsidRDefault="00000000" w:rsidRPr="00000000" w14:paraId="0000000D">
            <w:pPr>
              <w:rPr/>
            </w:pPr>
            <w:r w:rsidDel="00000000" w:rsidR="00000000" w:rsidRPr="00000000">
              <w:rPr>
                <w:rtl w:val="0"/>
              </w:rPr>
              <w:t xml:space="preserve">Sept. 17, 2021</w:t>
            </w:r>
          </w:p>
        </w:tc>
        <w:tc>
          <w:tcPr/>
          <w:p w:rsidR="00000000" w:rsidDel="00000000" w:rsidP="00000000" w:rsidRDefault="00000000" w:rsidRPr="00000000" w14:paraId="0000000E">
            <w:pPr>
              <w:rPr/>
            </w:pPr>
            <w:r w:rsidDel="00000000" w:rsidR="00000000" w:rsidRPr="00000000">
              <w:rPr>
                <w:rtl w:val="0"/>
              </w:rPr>
              <w:t xml:space="preserve">July 19, 2021</w:t>
            </w:r>
          </w:p>
        </w:tc>
        <w:tc>
          <w:tcPr/>
          <w:p w:rsidR="00000000" w:rsidDel="00000000" w:rsidP="00000000" w:rsidRDefault="00000000" w:rsidRPr="00000000" w14:paraId="0000000F">
            <w:pPr>
              <w:rPr/>
            </w:pPr>
            <w:r w:rsidDel="00000000" w:rsidR="00000000" w:rsidRPr="00000000">
              <w:rPr>
                <w:rtl w:val="0"/>
              </w:rPr>
              <w:t xml:space="preserve">Sept. 16, 1991</w:t>
            </w:r>
          </w:p>
        </w:tc>
        <w:tc>
          <w:tcPr/>
          <w:p w:rsidR="00000000" w:rsidDel="00000000" w:rsidP="00000000" w:rsidRDefault="00000000" w:rsidRPr="00000000" w14:paraId="00000010">
            <w:pPr>
              <w:rPr/>
            </w:pPr>
            <w:r w:rsidDel="00000000" w:rsidR="00000000" w:rsidRPr="00000000">
              <w:rPr>
                <w:rtl w:val="0"/>
              </w:rPr>
              <w:t xml:space="preserve">Sept. 4, 2001 and Sept. 18, 2012</w:t>
            </w:r>
          </w:p>
        </w:tc>
        <w:tc>
          <w:tcPr/>
          <w:p w:rsidR="00000000" w:rsidDel="00000000" w:rsidP="00000000" w:rsidRDefault="00000000" w:rsidRPr="00000000" w14:paraId="00000011">
            <w:pPr>
              <w:rPr/>
            </w:pPr>
            <w:r w:rsidDel="00000000" w:rsidR="00000000" w:rsidRPr="00000000">
              <w:rPr>
                <w:rtl w:val="0"/>
              </w:rPr>
              <w:t xml:space="preserve">(A) ongoing armed conflict AND</w:t>
            </w:r>
          </w:p>
          <w:p w:rsidR="00000000" w:rsidDel="00000000" w:rsidP="00000000" w:rsidRDefault="00000000" w:rsidRPr="00000000" w14:paraId="00000012">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South Sudan</w:t>
            </w:r>
          </w:p>
        </w:tc>
        <w:tc>
          <w:tcPr/>
          <w:p w:rsidR="00000000" w:rsidDel="00000000" w:rsidP="00000000" w:rsidRDefault="00000000" w:rsidRPr="00000000" w14:paraId="00000014">
            <w:pPr>
              <w:rPr/>
            </w:pPr>
            <w:r w:rsidDel="00000000" w:rsidR="00000000" w:rsidRPr="00000000">
              <w:rPr>
                <w:rtl w:val="0"/>
              </w:rPr>
              <w:t xml:space="preserve">84</w:t>
            </w:r>
          </w:p>
        </w:tc>
        <w:tc>
          <w:tcPr/>
          <w:p w:rsidR="00000000" w:rsidDel="00000000" w:rsidP="00000000" w:rsidRDefault="00000000" w:rsidRPr="00000000" w14:paraId="00000015">
            <w:pPr>
              <w:rPr/>
            </w:pPr>
            <w:r w:rsidDel="00000000" w:rsidR="00000000" w:rsidRPr="00000000">
              <w:rPr>
                <w:rtl w:val="0"/>
              </w:rPr>
              <w:t xml:space="preserve">May 2, 2022</w:t>
            </w:r>
          </w:p>
        </w:tc>
        <w:tc>
          <w:tcPr/>
          <w:p w:rsidR="00000000" w:rsidDel="00000000" w:rsidP="00000000" w:rsidRDefault="00000000" w:rsidRPr="00000000" w14:paraId="00000016">
            <w:pPr>
              <w:rPr/>
            </w:pPr>
            <w:r w:rsidDel="00000000" w:rsidR="00000000" w:rsidRPr="00000000">
              <w:rPr>
                <w:rtl w:val="0"/>
              </w:rPr>
              <w:t xml:space="preserve">March 3, 2022</w:t>
            </w:r>
          </w:p>
        </w:tc>
        <w:tc>
          <w:tcPr/>
          <w:p w:rsidR="00000000" w:rsidDel="00000000" w:rsidP="00000000" w:rsidRDefault="00000000" w:rsidRPr="00000000" w14:paraId="00000017">
            <w:pPr>
              <w:rPr/>
            </w:pPr>
            <w:r w:rsidDel="00000000" w:rsidR="00000000" w:rsidRPr="00000000">
              <w:rPr>
                <w:rtl w:val="0"/>
              </w:rPr>
              <w:t xml:space="preserve">Nov. 3, 2011</w:t>
            </w:r>
          </w:p>
        </w:tc>
        <w:tc>
          <w:tcPr/>
          <w:p w:rsidR="00000000" w:rsidDel="00000000" w:rsidP="00000000" w:rsidRDefault="00000000" w:rsidRPr="00000000" w14:paraId="00000018">
            <w:pPr>
              <w:rPr/>
            </w:pPr>
            <w:r w:rsidDel="00000000" w:rsidR="00000000" w:rsidRPr="00000000">
              <w:rPr>
                <w:rtl w:val="0"/>
              </w:rPr>
              <w:t xml:space="preserve">Sept. 2, 2014 and Jan. 25, 2016</w:t>
            </w:r>
          </w:p>
        </w:tc>
        <w:tc>
          <w:tcPr/>
          <w:p w:rsidR="00000000" w:rsidDel="00000000" w:rsidP="00000000" w:rsidRDefault="00000000" w:rsidRPr="00000000" w14:paraId="00000019">
            <w:pPr>
              <w:rPr/>
            </w:pPr>
            <w:r w:rsidDel="00000000" w:rsidR="00000000" w:rsidRPr="00000000">
              <w:rPr>
                <w:rtl w:val="0"/>
              </w:rPr>
              <w:t xml:space="preserve">(A) ongoing armed conflict AND</w:t>
            </w:r>
          </w:p>
          <w:p w:rsidR="00000000" w:rsidDel="00000000" w:rsidP="00000000" w:rsidRDefault="00000000" w:rsidRPr="00000000" w14:paraId="0000001A">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1B">
            <w:pPr>
              <w:rPr>
                <w:sz w:val="24"/>
                <w:szCs w:val="24"/>
              </w:rPr>
            </w:pPr>
            <w:r w:rsidDel="00000000" w:rsidR="00000000" w:rsidRPr="00000000">
              <w:rPr>
                <w:sz w:val="24"/>
                <w:szCs w:val="24"/>
                <w:rtl w:val="0"/>
              </w:rPr>
              <w:t xml:space="preserve">Venezuela (TPS)</w:t>
            </w:r>
          </w:p>
        </w:tc>
        <w:tc>
          <w:tcPr/>
          <w:p w:rsidR="00000000" w:rsidDel="00000000" w:rsidP="00000000" w:rsidRDefault="00000000" w:rsidRPr="00000000" w14:paraId="0000001C">
            <w:pPr>
              <w:rPr/>
            </w:pPr>
            <w:r w:rsidDel="00000000" w:rsidR="00000000" w:rsidRPr="00000000">
              <w:rPr>
                <w:rtl w:val="0"/>
              </w:rPr>
              <w:t xml:space="preserve">323,000</w:t>
            </w:r>
          </w:p>
        </w:tc>
        <w:tc>
          <w:tcPr/>
          <w:p w:rsidR="00000000" w:rsidDel="00000000" w:rsidP="00000000" w:rsidRDefault="00000000" w:rsidRPr="00000000" w14:paraId="0000001D">
            <w:pPr>
              <w:rPr/>
            </w:pPr>
            <w:r w:rsidDel="00000000" w:rsidR="00000000" w:rsidRPr="00000000">
              <w:rPr>
                <w:rtl w:val="0"/>
              </w:rPr>
              <w:t xml:space="preserve">Sept. 9, 2022</w:t>
            </w:r>
          </w:p>
        </w:tc>
        <w:tc>
          <w:tcPr/>
          <w:p w:rsidR="00000000" w:rsidDel="00000000" w:rsidP="00000000" w:rsidRDefault="00000000" w:rsidRPr="00000000" w14:paraId="0000001E">
            <w:pPr>
              <w:rPr/>
            </w:pPr>
            <w:r w:rsidDel="00000000" w:rsidR="00000000" w:rsidRPr="00000000">
              <w:rPr>
                <w:rtl w:val="0"/>
              </w:rPr>
              <w:t xml:space="preserve">July 11, 2022</w:t>
            </w:r>
          </w:p>
        </w:tc>
        <w:tc>
          <w:tcPr/>
          <w:p w:rsidR="00000000" w:rsidDel="00000000" w:rsidP="00000000" w:rsidRDefault="00000000" w:rsidRPr="00000000" w14:paraId="0000001F">
            <w:pPr>
              <w:rPr/>
            </w:pPr>
            <w:r w:rsidDel="00000000" w:rsidR="00000000" w:rsidRPr="00000000">
              <w:rPr>
                <w:rtl w:val="0"/>
              </w:rPr>
              <w:t xml:space="preserve">March 9, 2021</w:t>
            </w:r>
          </w:p>
        </w:tc>
        <w:tc>
          <w:tcPr/>
          <w:p w:rsidR="00000000" w:rsidDel="00000000" w:rsidP="00000000" w:rsidRDefault="00000000" w:rsidRPr="00000000" w14:paraId="00000020">
            <w:pPr>
              <w:rPr/>
            </w:pPr>
            <w:r w:rsidDel="00000000" w:rsidR="00000000" w:rsidRPr="00000000">
              <w:rPr>
                <w:rtl w:val="0"/>
              </w:rPr>
              <w:t xml:space="preserve">N/A</w:t>
            </w:r>
          </w:p>
        </w:tc>
        <w:tc>
          <w:tcPr/>
          <w:p w:rsidR="00000000" w:rsidDel="00000000" w:rsidP="00000000" w:rsidRDefault="00000000" w:rsidRPr="00000000" w14:paraId="00000021">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22">
            <w:pPr>
              <w:rPr>
                <w:sz w:val="24"/>
                <w:szCs w:val="24"/>
              </w:rPr>
            </w:pPr>
            <w:r w:rsidDel="00000000" w:rsidR="00000000" w:rsidRPr="00000000">
              <w:rPr>
                <w:sz w:val="24"/>
                <w:szCs w:val="24"/>
                <w:rtl w:val="0"/>
              </w:rPr>
              <w:t xml:space="preserve">Syria</w:t>
            </w:r>
          </w:p>
        </w:tc>
        <w:tc>
          <w:tcPr/>
          <w:p w:rsidR="00000000" w:rsidDel="00000000" w:rsidP="00000000" w:rsidRDefault="00000000" w:rsidRPr="00000000" w14:paraId="00000023">
            <w:pPr>
              <w:rPr/>
            </w:pPr>
            <w:r w:rsidDel="00000000" w:rsidR="00000000" w:rsidRPr="00000000">
              <w:rPr>
                <w:rtl w:val="0"/>
              </w:rPr>
              <w:t xml:space="preserve">8,500</w:t>
            </w:r>
          </w:p>
        </w:tc>
        <w:tc>
          <w:tcPr/>
          <w:p w:rsidR="00000000" w:rsidDel="00000000" w:rsidP="00000000" w:rsidRDefault="00000000" w:rsidRPr="00000000" w14:paraId="00000024">
            <w:pPr>
              <w:rPr/>
            </w:pPr>
            <w:r w:rsidDel="00000000" w:rsidR="00000000" w:rsidRPr="00000000">
              <w:rPr>
                <w:rtl w:val="0"/>
              </w:rPr>
              <w:t xml:space="preserve">Sept. 30, 2022</w:t>
            </w:r>
          </w:p>
        </w:tc>
        <w:tc>
          <w:tcPr/>
          <w:p w:rsidR="00000000" w:rsidDel="00000000" w:rsidP="00000000" w:rsidRDefault="00000000" w:rsidRPr="00000000" w14:paraId="00000025">
            <w:pPr>
              <w:rPr/>
            </w:pPr>
            <w:r w:rsidDel="00000000" w:rsidR="00000000" w:rsidRPr="00000000">
              <w:rPr>
                <w:color w:val="000000"/>
                <w:rtl w:val="0"/>
              </w:rPr>
              <w:t xml:space="preserve">July 31, 2022</w:t>
            </w: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Mar. 29, 2012</w:t>
            </w:r>
          </w:p>
        </w:tc>
        <w:tc>
          <w:tcPr/>
          <w:p w:rsidR="00000000" w:rsidDel="00000000" w:rsidP="00000000" w:rsidRDefault="00000000" w:rsidRPr="00000000" w14:paraId="00000027">
            <w:pPr>
              <w:rPr/>
            </w:pPr>
            <w:r w:rsidDel="00000000" w:rsidR="00000000" w:rsidRPr="00000000">
              <w:rPr>
                <w:rtl w:val="0"/>
              </w:rPr>
              <w:t xml:space="preserve">June 17, 2013; Jan. 5, 2015; and Aug. 1, 2016; Jan. 29, 2021</w:t>
            </w:r>
          </w:p>
        </w:tc>
        <w:tc>
          <w:tcPr/>
          <w:p w:rsidR="00000000" w:rsidDel="00000000" w:rsidP="00000000" w:rsidRDefault="00000000" w:rsidRPr="00000000" w14:paraId="00000028">
            <w:pPr>
              <w:rPr/>
            </w:pPr>
            <w:r w:rsidDel="00000000" w:rsidR="00000000" w:rsidRPr="00000000">
              <w:rPr>
                <w:rtl w:val="0"/>
              </w:rPr>
              <w:t xml:space="preserve">(A) ongoing armed conflict AND</w:t>
            </w:r>
          </w:p>
          <w:p w:rsidR="00000000" w:rsidDel="00000000" w:rsidP="00000000" w:rsidRDefault="00000000" w:rsidRPr="00000000" w14:paraId="00000029">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2A">
            <w:pPr>
              <w:rPr>
                <w:sz w:val="24"/>
                <w:szCs w:val="24"/>
              </w:rPr>
            </w:pPr>
            <w:r w:rsidDel="00000000" w:rsidR="00000000" w:rsidRPr="00000000">
              <w:rPr>
                <w:sz w:val="24"/>
                <w:szCs w:val="24"/>
                <w:rtl w:val="0"/>
              </w:rPr>
              <w:t xml:space="preserve">Burma</w:t>
            </w:r>
          </w:p>
        </w:tc>
        <w:tc>
          <w:tcPr/>
          <w:p w:rsidR="00000000" w:rsidDel="00000000" w:rsidP="00000000" w:rsidRDefault="00000000" w:rsidRPr="00000000" w14:paraId="0000002B">
            <w:pPr>
              <w:rPr/>
            </w:pPr>
            <w:r w:rsidDel="00000000" w:rsidR="00000000" w:rsidRPr="00000000">
              <w:rPr>
                <w:rtl w:val="0"/>
              </w:rPr>
              <w:t xml:space="preserve">1,600</w:t>
            </w:r>
          </w:p>
        </w:tc>
        <w:tc>
          <w:tcPr/>
          <w:p w:rsidR="00000000" w:rsidDel="00000000" w:rsidP="00000000" w:rsidRDefault="00000000" w:rsidRPr="00000000" w14:paraId="0000002C">
            <w:pPr>
              <w:rPr/>
            </w:pPr>
            <w:r w:rsidDel="00000000" w:rsidR="00000000" w:rsidRPr="00000000">
              <w:rPr>
                <w:rtl w:val="0"/>
              </w:rPr>
              <w:t xml:space="preserve">Nov. 25, 2022</w:t>
            </w:r>
          </w:p>
        </w:tc>
        <w:tc>
          <w:tcPr/>
          <w:p w:rsidR="00000000" w:rsidDel="00000000" w:rsidP="00000000" w:rsidRDefault="00000000" w:rsidRPr="00000000" w14:paraId="0000002D">
            <w:pPr>
              <w:rPr>
                <w:color w:val="000000"/>
              </w:rPr>
            </w:pPr>
            <w:r w:rsidDel="00000000" w:rsidR="00000000" w:rsidRPr="00000000">
              <w:rPr>
                <w:color w:val="000000"/>
                <w:rtl w:val="0"/>
              </w:rPr>
              <w:t xml:space="preserve">Sept. 25, 2022</w:t>
            </w:r>
          </w:p>
        </w:tc>
        <w:tc>
          <w:tcPr/>
          <w:p w:rsidR="00000000" w:rsidDel="00000000" w:rsidP="00000000" w:rsidRDefault="00000000" w:rsidRPr="00000000" w14:paraId="0000002E">
            <w:pPr>
              <w:rPr/>
            </w:pPr>
            <w:r w:rsidDel="00000000" w:rsidR="00000000" w:rsidRPr="00000000">
              <w:rPr>
                <w:rtl w:val="0"/>
              </w:rPr>
              <w:t xml:space="preserve">May 25, 2021</w:t>
            </w:r>
          </w:p>
        </w:tc>
        <w:tc>
          <w:tcPr/>
          <w:p w:rsidR="00000000" w:rsidDel="00000000" w:rsidP="00000000" w:rsidRDefault="00000000" w:rsidRPr="00000000" w14:paraId="0000002F">
            <w:pPr>
              <w:rPr/>
            </w:pPr>
            <w:r w:rsidDel="00000000" w:rsidR="00000000" w:rsidRPr="00000000">
              <w:rPr>
                <w:rtl w:val="0"/>
              </w:rPr>
              <w:t xml:space="preserve">N/A</w:t>
            </w:r>
          </w:p>
        </w:tc>
        <w:tc>
          <w:tcPr/>
          <w:p w:rsidR="00000000" w:rsidDel="00000000" w:rsidP="00000000" w:rsidRDefault="00000000" w:rsidRPr="00000000" w14:paraId="00000030">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31">
            <w:pPr>
              <w:rPr>
                <w:sz w:val="24"/>
                <w:szCs w:val="24"/>
              </w:rPr>
            </w:pPr>
            <w:r w:rsidDel="00000000" w:rsidR="00000000" w:rsidRPr="00000000">
              <w:rPr>
                <w:sz w:val="24"/>
                <w:szCs w:val="24"/>
                <w:rtl w:val="0"/>
              </w:rPr>
              <w:t xml:space="preserve">Venezuela (DED)</w:t>
            </w:r>
          </w:p>
        </w:tc>
        <w:tc>
          <w:tcPr/>
          <w:p w:rsidR="00000000" w:rsidDel="00000000" w:rsidP="00000000" w:rsidRDefault="00000000" w:rsidRPr="00000000" w14:paraId="00000032">
            <w:pPr>
              <w:rPr/>
            </w:pPr>
            <w:r w:rsidDel="00000000" w:rsidR="00000000" w:rsidRPr="00000000">
              <w:rPr>
                <w:rtl w:val="0"/>
              </w:rPr>
              <w:t xml:space="preserve">200,000 – 323,000</w:t>
            </w:r>
          </w:p>
        </w:tc>
        <w:tc>
          <w:tcPr/>
          <w:p w:rsidR="00000000" w:rsidDel="00000000" w:rsidP="00000000" w:rsidRDefault="00000000" w:rsidRPr="00000000" w14:paraId="00000033">
            <w:pPr>
              <w:rPr/>
            </w:pPr>
            <w:r w:rsidDel="00000000" w:rsidR="00000000" w:rsidRPr="00000000">
              <w:rPr>
                <w:rtl w:val="0"/>
              </w:rPr>
              <w:t xml:space="preserve">July 20, 2022</w:t>
            </w:r>
          </w:p>
        </w:tc>
        <w:tc>
          <w:tcPr/>
          <w:p w:rsidR="00000000" w:rsidDel="00000000" w:rsidP="00000000" w:rsidRDefault="00000000" w:rsidRPr="00000000" w14:paraId="00000034">
            <w:pPr>
              <w:rPr/>
            </w:pPr>
            <w:r w:rsidDel="00000000" w:rsidR="00000000" w:rsidRPr="00000000">
              <w:rPr>
                <w:rtl w:val="0"/>
              </w:rPr>
              <w:t xml:space="preserve">N/A</w:t>
            </w:r>
          </w:p>
        </w:tc>
        <w:tc>
          <w:tcPr/>
          <w:p w:rsidR="00000000" w:rsidDel="00000000" w:rsidP="00000000" w:rsidRDefault="00000000" w:rsidRPr="00000000" w14:paraId="00000035">
            <w:pPr>
              <w:rPr/>
            </w:pPr>
            <w:r w:rsidDel="00000000" w:rsidR="00000000" w:rsidRPr="00000000">
              <w:rPr>
                <w:rtl w:val="0"/>
              </w:rPr>
              <w:t xml:space="preserve">Jan. 20, 2021</w:t>
            </w:r>
          </w:p>
        </w:tc>
        <w:tc>
          <w:tcPr/>
          <w:p w:rsidR="00000000" w:rsidDel="00000000" w:rsidP="00000000" w:rsidRDefault="00000000" w:rsidRPr="00000000" w14:paraId="00000036">
            <w:pPr>
              <w:rPr/>
            </w:pPr>
            <w:r w:rsidDel="00000000" w:rsidR="00000000" w:rsidRPr="00000000">
              <w:rPr>
                <w:rtl w:val="0"/>
              </w:rPr>
              <w:t xml:space="preserve">N/A</w:t>
            </w:r>
          </w:p>
        </w:tc>
        <w:tc>
          <w:tcPr/>
          <w:p w:rsidR="00000000" w:rsidDel="00000000" w:rsidP="00000000" w:rsidRDefault="00000000" w:rsidRPr="00000000" w14:paraId="00000037">
            <w:pPr>
              <w:rPr/>
            </w:pPr>
            <w:r w:rsidDel="00000000" w:rsidR="00000000" w:rsidRPr="00000000">
              <w:rPr>
                <w:rtl w:val="0"/>
              </w:rPr>
              <w:t xml:space="preserve">Deferred Enforced Departure (DED)</w:t>
            </w:r>
          </w:p>
        </w:tc>
      </w:tr>
      <w:tr>
        <w:trPr>
          <w:trHeight w:val="446" w:hRule="atLeast"/>
        </w:trPr>
        <w:tc>
          <w:tcPr/>
          <w:p w:rsidR="00000000" w:rsidDel="00000000" w:rsidP="00000000" w:rsidRDefault="00000000" w:rsidRPr="00000000" w14:paraId="00000038">
            <w:pPr>
              <w:rPr>
                <w:sz w:val="24"/>
                <w:szCs w:val="24"/>
              </w:rPr>
            </w:pPr>
            <w:r w:rsidDel="00000000" w:rsidR="00000000" w:rsidRPr="00000000">
              <w:rPr>
                <w:sz w:val="24"/>
                <w:szCs w:val="24"/>
                <w:rtl w:val="0"/>
              </w:rPr>
              <w:t xml:space="preserve">Liberia (DED)**</w:t>
            </w:r>
          </w:p>
        </w:tc>
        <w:tc>
          <w:tcPr/>
          <w:p w:rsidR="00000000" w:rsidDel="00000000" w:rsidP="00000000" w:rsidRDefault="00000000" w:rsidRPr="00000000" w14:paraId="00000039">
            <w:pPr>
              <w:rPr/>
            </w:pPr>
            <w:r w:rsidDel="00000000" w:rsidR="00000000" w:rsidRPr="00000000">
              <w:rPr>
                <w:rtl w:val="0"/>
              </w:rPr>
              <w:t xml:space="preserve">745 – 4,000</w:t>
            </w:r>
          </w:p>
        </w:tc>
        <w:tc>
          <w:tcPr/>
          <w:p w:rsidR="00000000" w:rsidDel="00000000" w:rsidP="00000000" w:rsidRDefault="00000000" w:rsidRPr="00000000" w14:paraId="0000003A">
            <w:pPr>
              <w:rPr/>
            </w:pPr>
            <w:r w:rsidDel="00000000" w:rsidR="00000000" w:rsidRPr="00000000">
              <w:rPr>
                <w:rtl w:val="0"/>
              </w:rPr>
              <w:t xml:space="preserve">June 30, 2022</w:t>
            </w:r>
          </w:p>
        </w:tc>
        <w:tc>
          <w:tcPr/>
          <w:p w:rsidR="00000000" w:rsidDel="00000000" w:rsidP="00000000" w:rsidRDefault="00000000" w:rsidRPr="00000000" w14:paraId="0000003B">
            <w:pPr>
              <w:rPr/>
            </w:pPr>
            <w:r w:rsidDel="00000000" w:rsidR="00000000" w:rsidRPr="00000000">
              <w:rPr>
                <w:rtl w:val="0"/>
              </w:rPr>
              <w:t xml:space="preserve">N/A</w:t>
            </w:r>
          </w:p>
        </w:tc>
        <w:tc>
          <w:tcPr/>
          <w:p w:rsidR="00000000" w:rsidDel="00000000" w:rsidP="00000000" w:rsidRDefault="00000000" w:rsidRPr="00000000" w14:paraId="0000003C">
            <w:pPr>
              <w:rPr/>
            </w:pPr>
            <w:r w:rsidDel="00000000" w:rsidR="00000000" w:rsidRPr="00000000">
              <w:rPr>
                <w:rtl w:val="0"/>
              </w:rPr>
              <w:t xml:space="preserve">TPS: 1991-1999</w:t>
            </w:r>
          </w:p>
          <w:p w:rsidR="00000000" w:rsidDel="00000000" w:rsidP="00000000" w:rsidRDefault="00000000" w:rsidRPr="00000000" w14:paraId="0000003D">
            <w:pPr>
              <w:rPr/>
            </w:pPr>
            <w:r w:rsidDel="00000000" w:rsidR="00000000" w:rsidRPr="00000000">
              <w:rPr>
                <w:rtl w:val="0"/>
              </w:rPr>
              <w:t xml:space="preserve">DED: 1999-2002</w:t>
            </w:r>
          </w:p>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t xml:space="preserve">TPS: 2002-2007</w:t>
            </w:r>
          </w:p>
          <w:p w:rsidR="00000000" w:rsidDel="00000000" w:rsidP="00000000" w:rsidRDefault="00000000" w:rsidRPr="00000000" w14:paraId="00000040">
            <w:pPr>
              <w:rPr/>
            </w:pPr>
            <w:r w:rsidDel="00000000" w:rsidR="00000000" w:rsidRPr="00000000">
              <w:rPr>
                <w:rtl w:val="0"/>
              </w:rPr>
              <w:t xml:space="preserve">DED: 2007-present</w:t>
            </w:r>
          </w:p>
          <w:p w:rsidR="00000000" w:rsidDel="00000000" w:rsidP="00000000" w:rsidRDefault="00000000" w:rsidRPr="00000000" w14:paraId="00000041">
            <w:pPr>
              <w:rPr/>
            </w:pPr>
            <w:r w:rsidDel="00000000" w:rsidR="00000000" w:rsidRPr="00000000">
              <w:rPr>
                <w:rtl w:val="0"/>
              </w:rPr>
              <w:t xml:space="preserve">TPS: 2014-2017</w:t>
            </w:r>
          </w:p>
        </w:tc>
        <w:tc>
          <w:tcPr/>
          <w:p w:rsidR="00000000" w:rsidDel="00000000" w:rsidP="00000000" w:rsidRDefault="00000000" w:rsidRPr="00000000" w14:paraId="00000042">
            <w:pPr>
              <w:rPr/>
            </w:pPr>
            <w:r w:rsidDel="00000000" w:rsidR="00000000" w:rsidRPr="00000000">
              <w:rPr>
                <w:rtl w:val="0"/>
              </w:rPr>
              <w:t xml:space="preserve">Deferred Enforced Departure (DED)</w:t>
            </w:r>
          </w:p>
          <w:p w:rsidR="00000000" w:rsidDel="00000000" w:rsidP="00000000" w:rsidRDefault="00000000" w:rsidRPr="00000000" w14:paraId="00000043">
            <w:pPr>
              <w:rPr/>
            </w:pPr>
            <w:r w:rsidDel="00000000" w:rsidR="00000000" w:rsidRPr="00000000">
              <w:rPr>
                <w:rtl w:val="0"/>
              </w:rPr>
            </w:r>
          </w:p>
        </w:tc>
      </w:tr>
      <w:tr>
        <w:trPr>
          <w:trHeight w:val="446" w:hRule="atLeast"/>
        </w:trPr>
        <w:tc>
          <w:tcPr/>
          <w:p w:rsidR="00000000" w:rsidDel="00000000" w:rsidP="00000000" w:rsidRDefault="00000000" w:rsidRPr="00000000" w14:paraId="00000044">
            <w:pPr>
              <w:rPr>
                <w:sz w:val="24"/>
                <w:szCs w:val="24"/>
              </w:rPr>
            </w:pPr>
            <w:r w:rsidDel="00000000" w:rsidR="00000000" w:rsidRPr="00000000">
              <w:rPr>
                <w:sz w:val="24"/>
                <w:szCs w:val="24"/>
                <w:rtl w:val="0"/>
              </w:rPr>
              <w:t xml:space="preserve">Yemen</w:t>
            </w:r>
          </w:p>
        </w:tc>
        <w:tc>
          <w:tcPr/>
          <w:p w:rsidR="00000000" w:rsidDel="00000000" w:rsidP="00000000" w:rsidRDefault="00000000" w:rsidRPr="00000000" w14:paraId="00000045">
            <w:pPr>
              <w:rPr/>
            </w:pPr>
            <w:r w:rsidDel="00000000" w:rsidR="00000000" w:rsidRPr="00000000">
              <w:rPr>
                <w:rtl w:val="0"/>
              </w:rPr>
              <w:t xml:space="preserve">1,250</w:t>
            </w:r>
          </w:p>
        </w:tc>
        <w:tc>
          <w:tcPr/>
          <w:p w:rsidR="00000000" w:rsidDel="00000000" w:rsidP="00000000" w:rsidRDefault="00000000" w:rsidRPr="00000000" w14:paraId="00000046">
            <w:pPr>
              <w:rPr/>
            </w:pPr>
            <w:r w:rsidDel="00000000" w:rsidR="00000000" w:rsidRPr="00000000">
              <w:rPr>
                <w:rtl w:val="0"/>
              </w:rPr>
              <w:t xml:space="preserve">March 3, 2023</w:t>
            </w:r>
          </w:p>
        </w:tc>
        <w:tc>
          <w:tcPr/>
          <w:p w:rsidR="00000000" w:rsidDel="00000000" w:rsidP="00000000" w:rsidRDefault="00000000" w:rsidRPr="00000000" w14:paraId="00000047">
            <w:pPr>
              <w:rPr/>
            </w:pPr>
            <w:r w:rsidDel="00000000" w:rsidR="00000000" w:rsidRPr="00000000">
              <w:rPr>
                <w:rtl w:val="0"/>
              </w:rPr>
              <w:t xml:space="preserve">Jan. 2, 2023</w:t>
            </w:r>
          </w:p>
        </w:tc>
        <w:tc>
          <w:tcPr/>
          <w:p w:rsidR="00000000" w:rsidDel="00000000" w:rsidP="00000000" w:rsidRDefault="00000000" w:rsidRPr="00000000" w14:paraId="00000048">
            <w:pPr>
              <w:rPr/>
            </w:pPr>
            <w:r w:rsidDel="00000000" w:rsidR="00000000" w:rsidRPr="00000000">
              <w:rPr>
                <w:rtl w:val="0"/>
              </w:rPr>
              <w:t xml:space="preserve">Sept. 3, 2015</w:t>
            </w:r>
          </w:p>
        </w:tc>
        <w:tc>
          <w:tcPr/>
          <w:p w:rsidR="00000000" w:rsidDel="00000000" w:rsidP="00000000" w:rsidRDefault="00000000" w:rsidRPr="00000000" w14:paraId="00000049">
            <w:pPr>
              <w:rPr/>
            </w:pPr>
            <w:r w:rsidDel="00000000" w:rsidR="00000000" w:rsidRPr="00000000">
              <w:rPr>
                <w:rtl w:val="0"/>
              </w:rPr>
              <w:t xml:space="preserve">Jan. 4, 2017, and July 6, 2021</w:t>
            </w:r>
          </w:p>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t xml:space="preserve">(A) ongoing armed conflict AND</w:t>
            </w:r>
          </w:p>
          <w:p w:rsidR="00000000" w:rsidDel="00000000" w:rsidP="00000000" w:rsidRDefault="00000000" w:rsidRPr="00000000" w14:paraId="0000004C">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4D">
            <w:pPr>
              <w:rPr>
                <w:sz w:val="24"/>
                <w:szCs w:val="24"/>
              </w:rPr>
            </w:pPr>
            <w:r w:rsidDel="00000000" w:rsidR="00000000" w:rsidRPr="00000000">
              <w:rPr>
                <w:sz w:val="24"/>
                <w:szCs w:val="24"/>
                <w:rtl w:val="0"/>
              </w:rPr>
              <w:t xml:space="preserve">Sudan</w:t>
            </w:r>
          </w:p>
        </w:tc>
        <w:tc>
          <w:tcPr/>
          <w:p w:rsidR="00000000" w:rsidDel="00000000" w:rsidP="00000000" w:rsidRDefault="00000000" w:rsidRPr="00000000" w14:paraId="0000004E">
            <w:pPr>
              <w:rPr/>
            </w:pPr>
            <w:r w:rsidDel="00000000" w:rsidR="00000000" w:rsidRPr="00000000">
              <w:rPr>
                <w:rtl w:val="0"/>
              </w:rPr>
              <w:t xml:space="preserve">1,040</w:t>
            </w:r>
          </w:p>
        </w:tc>
        <w:tc>
          <w:tcPr/>
          <w:p w:rsidR="00000000" w:rsidDel="00000000" w:rsidP="00000000" w:rsidRDefault="00000000" w:rsidRPr="00000000" w14:paraId="0000004F">
            <w:pPr>
              <w:rPr/>
            </w:pPr>
            <w:r w:rsidDel="00000000" w:rsidR="00000000" w:rsidRPr="00000000">
              <w:rPr>
                <w:rtl w:val="0"/>
              </w:rPr>
              <w:t xml:space="preserve">Autoextension:</w:t>
            </w:r>
          </w:p>
          <w:p w:rsidR="00000000" w:rsidDel="00000000" w:rsidP="00000000" w:rsidRDefault="00000000" w:rsidRPr="00000000" w14:paraId="00000050">
            <w:pPr>
              <w:rPr/>
            </w:pPr>
            <w:r w:rsidDel="00000000" w:rsidR="00000000" w:rsidRPr="00000000">
              <w:rPr>
                <w:rtl w:val="0"/>
              </w:rPr>
              <w:t xml:space="preserve">Oct. 4, 2021*</w:t>
            </w:r>
          </w:p>
        </w:tc>
        <w:tc>
          <w:tcPr/>
          <w:p w:rsidR="00000000" w:rsidDel="00000000" w:rsidP="00000000" w:rsidRDefault="00000000" w:rsidRPr="00000000" w14:paraId="00000051">
            <w:pPr>
              <w:rPr/>
            </w:pPr>
            <w:r w:rsidDel="00000000" w:rsidR="00000000" w:rsidRPr="00000000">
              <w:rPr>
                <w:rtl w:val="0"/>
              </w:rPr>
              <w:t xml:space="preserve">N/A</w:t>
            </w:r>
          </w:p>
        </w:tc>
        <w:tc>
          <w:tcPr/>
          <w:p w:rsidR="00000000" w:rsidDel="00000000" w:rsidP="00000000" w:rsidRDefault="00000000" w:rsidRPr="00000000" w14:paraId="00000052">
            <w:pPr>
              <w:rPr/>
            </w:pPr>
            <w:r w:rsidDel="00000000" w:rsidR="00000000" w:rsidRPr="00000000">
              <w:rPr>
                <w:rtl w:val="0"/>
              </w:rPr>
              <w:t xml:space="preserve">Nov. 4, 1997</w:t>
            </w:r>
          </w:p>
        </w:tc>
        <w:tc>
          <w:tcPr/>
          <w:p w:rsidR="00000000" w:rsidDel="00000000" w:rsidP="00000000" w:rsidRDefault="00000000" w:rsidRPr="00000000" w14:paraId="00000053">
            <w:pPr>
              <w:rPr/>
            </w:pPr>
            <w:r w:rsidDel="00000000" w:rsidR="00000000" w:rsidRPr="00000000">
              <w:rPr>
                <w:rtl w:val="0"/>
              </w:rPr>
              <w:t xml:space="preserve">Nov. 9, 1999; </w:t>
            </w:r>
          </w:p>
          <w:p w:rsidR="00000000" w:rsidDel="00000000" w:rsidP="00000000" w:rsidRDefault="00000000" w:rsidRPr="00000000" w14:paraId="00000054">
            <w:pPr>
              <w:rPr/>
            </w:pPr>
            <w:r w:rsidDel="00000000" w:rsidR="00000000" w:rsidRPr="00000000">
              <w:rPr>
                <w:rtl w:val="0"/>
              </w:rPr>
              <w:t xml:space="preserve">Nov. 2, 2004; and May 3, 2013</w:t>
            </w:r>
          </w:p>
        </w:tc>
        <w:tc>
          <w:tcPr/>
          <w:p w:rsidR="00000000" w:rsidDel="00000000" w:rsidP="00000000" w:rsidRDefault="00000000" w:rsidRPr="00000000" w14:paraId="00000055">
            <w:pPr>
              <w:rPr/>
            </w:pPr>
            <w:r w:rsidDel="00000000" w:rsidR="00000000" w:rsidRPr="00000000">
              <w:rPr>
                <w:rtl w:val="0"/>
              </w:rPr>
              <w:t xml:space="preserve">(A) ongoing armed conflict AND</w:t>
            </w:r>
          </w:p>
          <w:p w:rsidR="00000000" w:rsidDel="00000000" w:rsidP="00000000" w:rsidRDefault="00000000" w:rsidRPr="00000000" w14:paraId="00000056">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57">
            <w:pPr>
              <w:rPr>
                <w:sz w:val="24"/>
                <w:szCs w:val="24"/>
              </w:rPr>
            </w:pPr>
            <w:r w:rsidDel="00000000" w:rsidR="00000000" w:rsidRPr="00000000">
              <w:rPr>
                <w:sz w:val="24"/>
                <w:szCs w:val="24"/>
                <w:rtl w:val="0"/>
              </w:rPr>
              <w:t xml:space="preserve">Nicaragua</w:t>
            </w:r>
          </w:p>
        </w:tc>
        <w:tc>
          <w:tcPr/>
          <w:p w:rsidR="00000000" w:rsidDel="00000000" w:rsidP="00000000" w:rsidRDefault="00000000" w:rsidRPr="00000000" w14:paraId="00000058">
            <w:pPr>
              <w:rPr/>
            </w:pPr>
            <w:r w:rsidDel="00000000" w:rsidR="00000000" w:rsidRPr="00000000">
              <w:rPr>
                <w:rtl w:val="0"/>
              </w:rPr>
              <w:t xml:space="preserve">2,550</w:t>
            </w:r>
          </w:p>
        </w:tc>
        <w:tc>
          <w:tcPr/>
          <w:p w:rsidR="00000000" w:rsidDel="00000000" w:rsidP="00000000" w:rsidRDefault="00000000" w:rsidRPr="00000000" w14:paraId="00000059">
            <w:pPr>
              <w:rPr/>
            </w:pPr>
            <w:r w:rsidDel="00000000" w:rsidR="00000000" w:rsidRPr="00000000">
              <w:rPr>
                <w:rtl w:val="0"/>
              </w:rPr>
              <w:t xml:space="preserve">Autoextension: </w:t>
            </w:r>
          </w:p>
          <w:p w:rsidR="00000000" w:rsidDel="00000000" w:rsidP="00000000" w:rsidRDefault="00000000" w:rsidRPr="00000000" w14:paraId="0000005A">
            <w:pPr>
              <w:rPr/>
            </w:pPr>
            <w:r w:rsidDel="00000000" w:rsidR="00000000" w:rsidRPr="00000000">
              <w:rPr>
                <w:rtl w:val="0"/>
              </w:rPr>
              <w:t xml:space="preserve">Oct. 4, 2021*</w:t>
            </w:r>
          </w:p>
        </w:tc>
        <w:tc>
          <w:tcPr/>
          <w:p w:rsidR="00000000" w:rsidDel="00000000" w:rsidP="00000000" w:rsidRDefault="00000000" w:rsidRPr="00000000" w14:paraId="0000005B">
            <w:pPr>
              <w:rPr/>
            </w:pPr>
            <w:r w:rsidDel="00000000" w:rsidR="00000000" w:rsidRPr="00000000">
              <w:rPr>
                <w:rtl w:val="0"/>
              </w:rPr>
              <w:t xml:space="preserve">N/A</w:t>
            </w:r>
          </w:p>
        </w:tc>
        <w:tc>
          <w:tcPr/>
          <w:p w:rsidR="00000000" w:rsidDel="00000000" w:rsidP="00000000" w:rsidRDefault="00000000" w:rsidRPr="00000000" w14:paraId="0000005C">
            <w:pPr>
              <w:rPr/>
            </w:pPr>
            <w:r w:rsidDel="00000000" w:rsidR="00000000" w:rsidRPr="00000000">
              <w:rPr>
                <w:rtl w:val="0"/>
              </w:rPr>
              <w:t xml:space="preserve">Jan. 5, 1999</w:t>
            </w:r>
          </w:p>
        </w:tc>
        <w:tc>
          <w:tcPr/>
          <w:p w:rsidR="00000000" w:rsidDel="00000000" w:rsidP="00000000" w:rsidRDefault="00000000" w:rsidRPr="00000000" w14:paraId="0000005D">
            <w:pPr>
              <w:rPr/>
            </w:pPr>
            <w:r w:rsidDel="00000000" w:rsidR="00000000" w:rsidRPr="00000000">
              <w:rPr>
                <w:rtl w:val="0"/>
              </w:rPr>
              <w:t xml:space="preserve">N/A</w:t>
            </w:r>
          </w:p>
        </w:tc>
        <w:tc>
          <w:tcPr/>
          <w:p w:rsidR="00000000" w:rsidDel="00000000" w:rsidP="00000000" w:rsidRDefault="00000000" w:rsidRPr="00000000" w14:paraId="0000005E">
            <w:pPr>
              <w:rPr/>
            </w:pPr>
            <w:r w:rsidDel="00000000" w:rsidR="00000000" w:rsidRPr="00000000">
              <w:rPr>
                <w:rtl w:val="0"/>
              </w:rPr>
              <w:t xml:space="preserve">(B) environmental disaster and inability, temporarily, to accept returns</w:t>
            </w:r>
          </w:p>
        </w:tc>
      </w:tr>
      <w:tr>
        <w:trPr>
          <w:trHeight w:val="436" w:hRule="atLeast"/>
        </w:trPr>
        <w:tc>
          <w:tcPr/>
          <w:p w:rsidR="00000000" w:rsidDel="00000000" w:rsidP="00000000" w:rsidRDefault="00000000" w:rsidRPr="00000000" w14:paraId="0000005F">
            <w:pPr>
              <w:rPr>
                <w:sz w:val="24"/>
                <w:szCs w:val="24"/>
              </w:rPr>
            </w:pPr>
            <w:r w:rsidDel="00000000" w:rsidR="00000000" w:rsidRPr="00000000">
              <w:rPr>
                <w:sz w:val="24"/>
                <w:szCs w:val="24"/>
                <w:rtl w:val="0"/>
              </w:rPr>
              <w:t xml:space="preserve">Nepal</w:t>
            </w:r>
          </w:p>
        </w:tc>
        <w:tc>
          <w:tcPr/>
          <w:p w:rsidR="00000000" w:rsidDel="00000000" w:rsidP="00000000" w:rsidRDefault="00000000" w:rsidRPr="00000000" w14:paraId="00000060">
            <w:pPr>
              <w:rPr/>
            </w:pPr>
            <w:r w:rsidDel="00000000" w:rsidR="00000000" w:rsidRPr="00000000">
              <w:rPr>
                <w:rtl w:val="0"/>
              </w:rPr>
              <w:t xml:space="preserve">8,950</w:t>
            </w:r>
          </w:p>
        </w:tc>
        <w:tc>
          <w:tcPr/>
          <w:p w:rsidR="00000000" w:rsidDel="00000000" w:rsidP="00000000" w:rsidRDefault="00000000" w:rsidRPr="00000000" w14:paraId="00000061">
            <w:pPr>
              <w:rPr/>
            </w:pPr>
            <w:r w:rsidDel="00000000" w:rsidR="00000000" w:rsidRPr="00000000">
              <w:rPr>
                <w:rtl w:val="0"/>
              </w:rPr>
              <w:t xml:space="preserve">Autoextension Oct. 4, 2021*</w:t>
            </w:r>
          </w:p>
        </w:tc>
        <w:tc>
          <w:tcPr/>
          <w:p w:rsidR="00000000" w:rsidDel="00000000" w:rsidP="00000000" w:rsidRDefault="00000000" w:rsidRPr="00000000" w14:paraId="00000062">
            <w:pPr>
              <w:rPr/>
            </w:pPr>
            <w:r w:rsidDel="00000000" w:rsidR="00000000" w:rsidRPr="00000000">
              <w:rPr>
                <w:rtl w:val="0"/>
              </w:rPr>
              <w:t xml:space="preserve">N/A</w:t>
            </w:r>
          </w:p>
        </w:tc>
        <w:tc>
          <w:tcPr/>
          <w:p w:rsidR="00000000" w:rsidDel="00000000" w:rsidP="00000000" w:rsidRDefault="00000000" w:rsidRPr="00000000" w14:paraId="00000063">
            <w:pPr>
              <w:rPr/>
            </w:pPr>
            <w:r w:rsidDel="00000000" w:rsidR="00000000" w:rsidRPr="00000000">
              <w:rPr>
                <w:rtl w:val="0"/>
              </w:rPr>
              <w:t xml:space="preserve">June 24, 2015</w:t>
            </w:r>
          </w:p>
        </w:tc>
        <w:tc>
          <w:tcPr/>
          <w:p w:rsidR="00000000" w:rsidDel="00000000" w:rsidP="00000000" w:rsidRDefault="00000000" w:rsidRPr="00000000" w14:paraId="00000064">
            <w:pPr>
              <w:rPr/>
            </w:pPr>
            <w:r w:rsidDel="00000000" w:rsidR="00000000" w:rsidRPr="00000000">
              <w:rPr>
                <w:rtl w:val="0"/>
              </w:rPr>
              <w:t xml:space="preserve">N/A</w:t>
            </w:r>
          </w:p>
        </w:tc>
        <w:tc>
          <w:tcPr/>
          <w:p w:rsidR="00000000" w:rsidDel="00000000" w:rsidP="00000000" w:rsidRDefault="00000000" w:rsidRPr="00000000" w14:paraId="00000065">
            <w:pPr>
              <w:rPr/>
            </w:pPr>
            <w:r w:rsidDel="00000000" w:rsidR="00000000" w:rsidRPr="00000000">
              <w:rPr>
                <w:rtl w:val="0"/>
              </w:rPr>
              <w:t xml:space="preserve">(B) earthquake and inability, temporarily, to accept returns</w:t>
            </w:r>
          </w:p>
        </w:tc>
      </w:tr>
      <w:tr>
        <w:trPr>
          <w:trHeight w:val="446" w:hRule="atLeast"/>
        </w:trPr>
        <w:tc>
          <w:tcPr/>
          <w:p w:rsidR="00000000" w:rsidDel="00000000" w:rsidP="00000000" w:rsidRDefault="00000000" w:rsidRPr="00000000" w14:paraId="00000066">
            <w:pPr>
              <w:rPr>
                <w:sz w:val="24"/>
                <w:szCs w:val="24"/>
              </w:rPr>
            </w:pPr>
            <w:r w:rsidDel="00000000" w:rsidR="00000000" w:rsidRPr="00000000">
              <w:rPr>
                <w:sz w:val="24"/>
                <w:szCs w:val="24"/>
                <w:rtl w:val="0"/>
              </w:rPr>
              <w:t xml:space="preserve">Haiti</w:t>
            </w:r>
          </w:p>
        </w:tc>
        <w:tc>
          <w:tcPr/>
          <w:p w:rsidR="00000000" w:rsidDel="00000000" w:rsidP="00000000" w:rsidRDefault="00000000" w:rsidRPr="00000000" w14:paraId="00000067">
            <w:pPr>
              <w:rPr/>
            </w:pPr>
            <w:r w:rsidDel="00000000" w:rsidR="00000000" w:rsidRPr="00000000">
              <w:rPr>
                <w:rtl w:val="0"/>
              </w:rPr>
              <w:t xml:space="preserve">46,000</w:t>
            </w:r>
          </w:p>
        </w:tc>
        <w:tc>
          <w:tcPr/>
          <w:p w:rsidR="00000000" w:rsidDel="00000000" w:rsidP="00000000" w:rsidRDefault="00000000" w:rsidRPr="00000000" w14:paraId="00000068">
            <w:pPr>
              <w:rPr/>
            </w:pPr>
            <w:r w:rsidDel="00000000" w:rsidR="00000000" w:rsidRPr="00000000">
              <w:rPr>
                <w:rtl w:val="0"/>
              </w:rPr>
              <w:t xml:space="preserve">Autoextension:</w:t>
            </w:r>
          </w:p>
          <w:p w:rsidR="00000000" w:rsidDel="00000000" w:rsidP="00000000" w:rsidRDefault="00000000" w:rsidRPr="00000000" w14:paraId="00000069">
            <w:pPr>
              <w:rPr/>
            </w:pPr>
            <w:r w:rsidDel="00000000" w:rsidR="00000000" w:rsidRPr="00000000">
              <w:rPr>
                <w:rtl w:val="0"/>
              </w:rPr>
              <w:t xml:space="preserve">Oct. 4, 2021*</w:t>
            </w:r>
          </w:p>
        </w:tc>
        <w:tc>
          <w:tcPr/>
          <w:p w:rsidR="00000000" w:rsidDel="00000000" w:rsidP="00000000" w:rsidRDefault="00000000" w:rsidRPr="00000000" w14:paraId="0000006A">
            <w:pPr>
              <w:rPr/>
            </w:pPr>
            <w:r w:rsidDel="00000000" w:rsidR="00000000" w:rsidRPr="00000000">
              <w:rPr>
                <w:rtl w:val="0"/>
              </w:rPr>
              <w:t xml:space="preserve">N/A</w:t>
            </w:r>
          </w:p>
        </w:tc>
        <w:tc>
          <w:tcPr/>
          <w:p w:rsidR="00000000" w:rsidDel="00000000" w:rsidP="00000000" w:rsidRDefault="00000000" w:rsidRPr="00000000" w14:paraId="0000006B">
            <w:pPr>
              <w:rPr/>
            </w:pPr>
            <w:r w:rsidDel="00000000" w:rsidR="00000000" w:rsidRPr="00000000">
              <w:rPr>
                <w:rtl w:val="0"/>
              </w:rPr>
              <w:t xml:space="preserve">Jan. 21, 2010</w:t>
            </w:r>
          </w:p>
        </w:tc>
        <w:tc>
          <w:tcPr/>
          <w:p w:rsidR="00000000" w:rsidDel="00000000" w:rsidP="00000000" w:rsidRDefault="00000000" w:rsidRPr="00000000" w14:paraId="0000006C">
            <w:pPr>
              <w:rPr/>
            </w:pPr>
            <w:r w:rsidDel="00000000" w:rsidR="00000000" w:rsidRPr="00000000">
              <w:rPr>
                <w:rtl w:val="0"/>
              </w:rPr>
              <w:t xml:space="preserve">July 23, 2011; May 22, 2021 (</w:t>
            </w:r>
            <w:hyperlink r:id="rId8">
              <w:r w:rsidDel="00000000" w:rsidR="00000000" w:rsidRPr="00000000">
                <w:rPr>
                  <w:color w:val="1155cc"/>
                  <w:u w:val="single"/>
                  <w:rtl w:val="0"/>
                </w:rPr>
                <w:t xml:space="preserve">announced</w:t>
              </w:r>
            </w:hyperlink>
            <w:r w:rsidDel="00000000" w:rsidR="00000000" w:rsidRPr="00000000">
              <w:rPr>
                <w:rtl w:val="0"/>
              </w:rPr>
              <w:t xml:space="preserve">, but not published)</w:t>
            </w:r>
          </w:p>
        </w:tc>
        <w:tc>
          <w:tcPr/>
          <w:p w:rsidR="00000000" w:rsidDel="00000000" w:rsidP="00000000" w:rsidRDefault="00000000" w:rsidRPr="00000000" w14:paraId="0000006D">
            <w:pPr>
              <w:rPr/>
            </w:pPr>
            <w:r w:rsidDel="00000000" w:rsidR="00000000" w:rsidRPr="00000000">
              <w:rPr>
                <w:rtl w:val="0"/>
              </w:rPr>
              <w:t xml:space="preserve">(C) extraordinary and temporary conditions</w:t>
            </w:r>
          </w:p>
        </w:tc>
      </w:tr>
      <w:tr>
        <w:trPr>
          <w:trHeight w:val="446" w:hRule="atLeast"/>
        </w:trPr>
        <w:tc>
          <w:tcPr/>
          <w:p w:rsidR="00000000" w:rsidDel="00000000" w:rsidP="00000000" w:rsidRDefault="00000000" w:rsidRPr="00000000" w14:paraId="0000006E">
            <w:pPr>
              <w:rPr>
                <w:sz w:val="24"/>
                <w:szCs w:val="24"/>
              </w:rPr>
            </w:pPr>
            <w:r w:rsidDel="00000000" w:rsidR="00000000" w:rsidRPr="00000000">
              <w:rPr>
                <w:sz w:val="24"/>
                <w:szCs w:val="24"/>
                <w:rtl w:val="0"/>
              </w:rPr>
              <w:t xml:space="preserve">El Salvador</w:t>
            </w:r>
          </w:p>
        </w:tc>
        <w:tc>
          <w:tcPr/>
          <w:p w:rsidR="00000000" w:rsidDel="00000000" w:rsidP="00000000" w:rsidRDefault="00000000" w:rsidRPr="00000000" w14:paraId="0000006F">
            <w:pPr>
              <w:rPr/>
            </w:pPr>
            <w:r w:rsidDel="00000000" w:rsidR="00000000" w:rsidRPr="00000000">
              <w:rPr>
                <w:rtl w:val="0"/>
              </w:rPr>
              <w:t xml:space="preserve">195,000</w:t>
            </w:r>
          </w:p>
        </w:tc>
        <w:tc>
          <w:tcPr/>
          <w:p w:rsidR="00000000" w:rsidDel="00000000" w:rsidP="00000000" w:rsidRDefault="00000000" w:rsidRPr="00000000" w14:paraId="00000070">
            <w:pPr>
              <w:rPr/>
            </w:pPr>
            <w:r w:rsidDel="00000000" w:rsidR="00000000" w:rsidRPr="00000000">
              <w:rPr>
                <w:rtl w:val="0"/>
              </w:rPr>
              <w:t xml:space="preserve">Autoextension:</w:t>
            </w:r>
          </w:p>
          <w:p w:rsidR="00000000" w:rsidDel="00000000" w:rsidP="00000000" w:rsidRDefault="00000000" w:rsidRPr="00000000" w14:paraId="00000071">
            <w:pPr>
              <w:rPr/>
            </w:pPr>
            <w:r w:rsidDel="00000000" w:rsidR="00000000" w:rsidRPr="00000000">
              <w:rPr>
                <w:rtl w:val="0"/>
              </w:rPr>
              <w:t xml:space="preserve">Oct. 4, 2021*</w:t>
            </w:r>
          </w:p>
        </w:tc>
        <w:tc>
          <w:tcPr/>
          <w:p w:rsidR="00000000" w:rsidDel="00000000" w:rsidP="00000000" w:rsidRDefault="00000000" w:rsidRPr="00000000" w14:paraId="00000072">
            <w:pPr>
              <w:rPr/>
            </w:pPr>
            <w:r w:rsidDel="00000000" w:rsidR="00000000" w:rsidRPr="00000000">
              <w:rPr>
                <w:rtl w:val="0"/>
              </w:rPr>
              <w:t xml:space="preserve">N/A</w:t>
            </w:r>
          </w:p>
        </w:tc>
        <w:tc>
          <w:tcPr/>
          <w:p w:rsidR="00000000" w:rsidDel="00000000" w:rsidP="00000000" w:rsidRDefault="00000000" w:rsidRPr="00000000" w14:paraId="00000073">
            <w:pPr>
              <w:rPr/>
            </w:pPr>
            <w:r w:rsidDel="00000000" w:rsidR="00000000" w:rsidRPr="00000000">
              <w:rPr>
                <w:rtl w:val="0"/>
              </w:rPr>
              <w:t xml:space="preserve">Mar. 9, 2001</w:t>
            </w:r>
          </w:p>
        </w:tc>
        <w:tc>
          <w:tcPr/>
          <w:p w:rsidR="00000000" w:rsidDel="00000000" w:rsidP="00000000" w:rsidRDefault="00000000" w:rsidRPr="00000000" w14:paraId="00000074">
            <w:pPr>
              <w:rPr/>
            </w:pPr>
            <w:r w:rsidDel="00000000" w:rsidR="00000000" w:rsidRPr="00000000">
              <w:rPr>
                <w:rtl w:val="0"/>
              </w:rPr>
              <w:t xml:space="preserve">N/A</w:t>
            </w:r>
          </w:p>
        </w:tc>
        <w:tc>
          <w:tcPr/>
          <w:p w:rsidR="00000000" w:rsidDel="00000000" w:rsidP="00000000" w:rsidRDefault="00000000" w:rsidRPr="00000000" w14:paraId="00000075">
            <w:pPr>
              <w:rPr/>
            </w:pPr>
            <w:r w:rsidDel="00000000" w:rsidR="00000000" w:rsidRPr="00000000">
              <w:rPr>
                <w:rtl w:val="0"/>
              </w:rPr>
              <w:t xml:space="preserve">(B) environmental disaster and inability, temporarily, to accept returns</w:t>
            </w:r>
          </w:p>
        </w:tc>
      </w:tr>
      <w:tr>
        <w:trPr>
          <w:trHeight w:val="436" w:hRule="atLeast"/>
        </w:trPr>
        <w:tc>
          <w:tcPr/>
          <w:p w:rsidR="00000000" w:rsidDel="00000000" w:rsidP="00000000" w:rsidRDefault="00000000" w:rsidRPr="00000000" w14:paraId="00000076">
            <w:pPr>
              <w:rPr>
                <w:sz w:val="24"/>
                <w:szCs w:val="24"/>
              </w:rPr>
            </w:pPr>
            <w:r w:rsidDel="00000000" w:rsidR="00000000" w:rsidRPr="00000000">
              <w:rPr>
                <w:sz w:val="24"/>
                <w:szCs w:val="24"/>
                <w:rtl w:val="0"/>
              </w:rPr>
              <w:t xml:space="preserve">Honduras</w:t>
            </w:r>
          </w:p>
        </w:tc>
        <w:tc>
          <w:tcPr/>
          <w:p w:rsidR="00000000" w:rsidDel="00000000" w:rsidP="00000000" w:rsidRDefault="00000000" w:rsidRPr="00000000" w14:paraId="00000077">
            <w:pPr>
              <w:rPr/>
            </w:pPr>
            <w:r w:rsidDel="00000000" w:rsidR="00000000" w:rsidRPr="00000000">
              <w:rPr>
                <w:rtl w:val="0"/>
              </w:rPr>
              <w:t xml:space="preserve">57,000</w:t>
            </w:r>
          </w:p>
        </w:tc>
        <w:tc>
          <w:tcPr/>
          <w:p w:rsidR="00000000" w:rsidDel="00000000" w:rsidP="00000000" w:rsidRDefault="00000000" w:rsidRPr="00000000" w14:paraId="00000078">
            <w:pPr>
              <w:rPr/>
            </w:pPr>
            <w:r w:rsidDel="00000000" w:rsidR="00000000" w:rsidRPr="00000000">
              <w:rPr>
                <w:rtl w:val="0"/>
              </w:rPr>
              <w:t xml:space="preserve">Autoextension: Oct. 4, 2021*</w:t>
            </w:r>
          </w:p>
        </w:tc>
        <w:tc>
          <w:tcPr/>
          <w:p w:rsidR="00000000" w:rsidDel="00000000" w:rsidP="00000000" w:rsidRDefault="00000000" w:rsidRPr="00000000" w14:paraId="00000079">
            <w:pPr>
              <w:rPr/>
            </w:pPr>
            <w:r w:rsidDel="00000000" w:rsidR="00000000" w:rsidRPr="00000000">
              <w:rPr>
                <w:rtl w:val="0"/>
              </w:rPr>
              <w:t xml:space="preserve">N/A</w:t>
            </w:r>
          </w:p>
        </w:tc>
        <w:tc>
          <w:tcPr/>
          <w:p w:rsidR="00000000" w:rsidDel="00000000" w:rsidP="00000000" w:rsidRDefault="00000000" w:rsidRPr="00000000" w14:paraId="0000007A">
            <w:pPr>
              <w:rPr/>
            </w:pPr>
            <w:r w:rsidDel="00000000" w:rsidR="00000000" w:rsidRPr="00000000">
              <w:rPr>
                <w:rtl w:val="0"/>
              </w:rPr>
              <w:t xml:space="preserve">Jan. 5, 1999</w:t>
            </w:r>
          </w:p>
        </w:tc>
        <w:tc>
          <w:tcPr/>
          <w:p w:rsidR="00000000" w:rsidDel="00000000" w:rsidP="00000000" w:rsidRDefault="00000000" w:rsidRPr="00000000" w14:paraId="0000007B">
            <w:pPr>
              <w:rPr/>
            </w:pPr>
            <w:r w:rsidDel="00000000" w:rsidR="00000000" w:rsidRPr="00000000">
              <w:rPr>
                <w:rtl w:val="0"/>
              </w:rPr>
              <w:t xml:space="preserve">N/A</w:t>
            </w:r>
          </w:p>
        </w:tc>
        <w:tc>
          <w:tcPr/>
          <w:p w:rsidR="00000000" w:rsidDel="00000000" w:rsidP="00000000" w:rsidRDefault="00000000" w:rsidRPr="00000000" w14:paraId="0000007C">
            <w:pPr>
              <w:rPr/>
            </w:pPr>
            <w:r w:rsidDel="00000000" w:rsidR="00000000" w:rsidRPr="00000000">
              <w:rPr>
                <w:rtl w:val="0"/>
              </w:rPr>
              <w:t xml:space="preserve">(B) environmental disaster and inability, temporarily, to accept returns</w:t>
            </w:r>
          </w:p>
        </w:tc>
      </w:tr>
    </w:tbl>
    <w:p w:rsidR="00000000" w:rsidDel="00000000" w:rsidP="00000000" w:rsidRDefault="00000000" w:rsidRPr="00000000" w14:paraId="0000007D">
      <w:pPr>
        <w:tabs>
          <w:tab w:val="left" w:pos="3980"/>
        </w:tabs>
        <w:rPr>
          <w:sz w:val="20"/>
          <w:szCs w:val="20"/>
        </w:rPr>
      </w:pPr>
      <w:r w:rsidDel="00000000" w:rsidR="00000000" w:rsidRPr="00000000">
        <w:rPr>
          <w:rtl w:val="0"/>
        </w:rPr>
      </w:r>
    </w:p>
    <w:p w:rsidR="00000000" w:rsidDel="00000000" w:rsidP="00000000" w:rsidRDefault="00000000" w:rsidRPr="00000000" w14:paraId="0000007E">
      <w:pPr>
        <w:tabs>
          <w:tab w:val="left" w:pos="3980"/>
        </w:tabs>
        <w:rPr>
          <w:sz w:val="32"/>
          <w:szCs w:val="32"/>
        </w:rPr>
      </w:pPr>
      <w:r w:rsidDel="00000000" w:rsidR="00000000" w:rsidRPr="00000000">
        <w:rPr>
          <w:sz w:val="16"/>
          <w:szCs w:val="16"/>
          <w:rtl w:val="0"/>
        </w:rPr>
        <w:t xml:space="preserve">* Terminations of TPS for these countries are temporarily on hold by Court orders under </w:t>
      </w:r>
      <w:hyperlink r:id="rId9">
        <w:r w:rsidDel="00000000" w:rsidR="00000000" w:rsidRPr="00000000">
          <w:rPr>
            <w:i w:val="1"/>
            <w:color w:val="0563c1"/>
            <w:sz w:val="16"/>
            <w:szCs w:val="16"/>
            <w:u w:val="single"/>
            <w:rtl w:val="0"/>
          </w:rPr>
          <w:t xml:space="preserve">Ramos v. Nielsen</w:t>
        </w:r>
      </w:hyperlink>
      <w:r w:rsidDel="00000000" w:rsidR="00000000" w:rsidRPr="00000000">
        <w:rPr>
          <w:sz w:val="16"/>
          <w:szCs w:val="16"/>
          <w:rtl w:val="0"/>
        </w:rPr>
        <w:t xml:space="preserve"> and </w:t>
      </w:r>
      <w:hyperlink r:id="rId10">
        <w:r w:rsidDel="00000000" w:rsidR="00000000" w:rsidRPr="00000000">
          <w:rPr>
            <w:i w:val="1"/>
            <w:color w:val="0563c1"/>
            <w:sz w:val="16"/>
            <w:szCs w:val="16"/>
            <w:u w:val="single"/>
            <w:rtl w:val="0"/>
          </w:rPr>
          <w:t xml:space="preserve">Bhattarai v. Nielsen</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7F">
      <w:pPr>
        <w:tabs>
          <w:tab w:val="left" w:pos="3980"/>
        </w:tabs>
        <w:rPr>
          <w:sz w:val="16"/>
          <w:szCs w:val="16"/>
        </w:rPr>
      </w:pPr>
      <w:r w:rsidDel="00000000" w:rsidR="00000000" w:rsidRPr="00000000">
        <w:rPr>
          <w:sz w:val="16"/>
          <w:szCs w:val="16"/>
          <w:rtl w:val="0"/>
        </w:rPr>
        <w:t xml:space="preserve">**Note on Liberian Refugee Immigration Fairness (LRIF): Liberian DED holders and Liberians who previously held TPS may be eligible for lawful permanent status under Section 7611 of the National Defense Authorization Act for Fiscal Year 2020, Liberian Refugee Immigration Fairness. Please visit </w:t>
      </w:r>
      <w:hyperlink r:id="rId11">
        <w:r w:rsidDel="00000000" w:rsidR="00000000" w:rsidRPr="00000000">
          <w:rPr>
            <w:color w:val="0563c1"/>
            <w:sz w:val="16"/>
            <w:szCs w:val="16"/>
            <w:u w:val="single"/>
            <w:rtl w:val="0"/>
          </w:rPr>
          <w:t xml:space="preserve">USCIS’ webpage</w:t>
        </w:r>
      </w:hyperlink>
      <w:r w:rsidDel="00000000" w:rsidR="00000000" w:rsidRPr="00000000">
        <w:rPr>
          <w:sz w:val="16"/>
          <w:szCs w:val="16"/>
          <w:rtl w:val="0"/>
        </w:rPr>
        <w:t xml:space="preserve"> for more information. </w:t>
      </w:r>
    </w:p>
    <w:sectPr>
      <w:headerReference r:id="rId12" w:type="default"/>
      <w:headerReference r:id="rId13" w:type="first"/>
      <w:headerReference r:id="rId14" w:type="even"/>
      <w:footerReference r:id="rId15" w:type="default"/>
      <w:footerReference r:id="rId16" w:type="first"/>
      <w:footerReference r:id="rId17"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Population estimates come from the Congressional Research Service,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Temporary Protected Status: Overview and Current Issues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available at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https://crsreports.congress.gov/product/pdf/RS/RS20844</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as well as Federal Register Notices. </w:t>
      </w:r>
    </w:p>
  </w:footnote>
  <w:footnote w:id="1">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INA 244(b)(3) requires that DHS make a decision 60 days prior to the expiration date and “timely” publish such determination in the Federal Register. DED has no advance notice requirement.</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tabs>
        <w:tab w:val="left" w:pos="3980"/>
      </w:tabs>
      <w:jc w:val="center"/>
      <w:rPr>
        <w:b w:val="1"/>
        <w:sz w:val="32"/>
        <w:szCs w:val="32"/>
      </w:rPr>
    </w:pPr>
    <w:r w:rsidDel="00000000" w:rsidR="00000000" w:rsidRPr="00000000">
      <w:rPr>
        <w:b w:val="1"/>
        <w:sz w:val="32"/>
        <w:szCs w:val="32"/>
        <w:rtl w:val="0"/>
      </w:rPr>
      <w:t xml:space="preserve">Temporary Protected Status and Deferred Enforced Departure Designations and Decision Dates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Chart last updated:</w:t>
    </w:r>
    <w:r w:rsidDel="00000000" w:rsidR="00000000" w:rsidRPr="00000000">
      <w:rPr>
        <w:sz w:val="16"/>
        <w:szCs w:val="16"/>
        <w:rtl w:val="0"/>
      </w:rPr>
      <w:t xml:space="preserve"> July 12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2021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842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11" w:customStyle="1">
    <w:name w:val="Grid Table 4 - Accent 11"/>
    <w:basedOn w:val="TableNormal"/>
    <w:uiPriority w:val="49"/>
    <w:rsid w:val="007842FB"/>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FootnoteText">
    <w:name w:val="footnote text"/>
    <w:basedOn w:val="Normal"/>
    <w:link w:val="FootnoteTextChar"/>
    <w:uiPriority w:val="99"/>
    <w:semiHidden w:val="1"/>
    <w:unhideWhenUsed w:val="1"/>
    <w:rsid w:val="004848C6"/>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848C6"/>
    <w:rPr>
      <w:sz w:val="20"/>
      <w:szCs w:val="20"/>
    </w:rPr>
  </w:style>
  <w:style w:type="character" w:styleId="FootnoteReference">
    <w:name w:val="footnote reference"/>
    <w:basedOn w:val="DefaultParagraphFont"/>
    <w:uiPriority w:val="99"/>
    <w:semiHidden w:val="1"/>
    <w:unhideWhenUsed w:val="1"/>
    <w:rsid w:val="004848C6"/>
    <w:rPr>
      <w:vertAlign w:val="superscript"/>
    </w:rPr>
  </w:style>
  <w:style w:type="paragraph" w:styleId="ListParagraph">
    <w:name w:val="List Paragraph"/>
    <w:basedOn w:val="Normal"/>
    <w:uiPriority w:val="34"/>
    <w:qFormat w:val="1"/>
    <w:rsid w:val="00CA0381"/>
    <w:pPr>
      <w:ind w:left="720"/>
      <w:contextualSpacing w:val="1"/>
    </w:pPr>
  </w:style>
  <w:style w:type="paragraph" w:styleId="Header">
    <w:name w:val="header"/>
    <w:basedOn w:val="Normal"/>
    <w:link w:val="HeaderChar"/>
    <w:uiPriority w:val="99"/>
    <w:unhideWhenUsed w:val="1"/>
    <w:rsid w:val="006812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1262"/>
  </w:style>
  <w:style w:type="paragraph" w:styleId="Footer">
    <w:name w:val="footer"/>
    <w:basedOn w:val="Normal"/>
    <w:link w:val="FooterChar"/>
    <w:uiPriority w:val="99"/>
    <w:unhideWhenUsed w:val="1"/>
    <w:rsid w:val="006812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1262"/>
  </w:style>
  <w:style w:type="character" w:styleId="Hyperlink">
    <w:name w:val="Hyperlink"/>
    <w:basedOn w:val="DefaultParagraphFont"/>
    <w:uiPriority w:val="99"/>
    <w:unhideWhenUsed w:val="1"/>
    <w:rsid w:val="009E2FE2"/>
    <w:rPr>
      <w:color w:val="0563c1" w:themeColor="hyperlink"/>
      <w:u w:val="single"/>
    </w:rPr>
  </w:style>
  <w:style w:type="character" w:styleId="Mention1" w:customStyle="1">
    <w:name w:val="Mention1"/>
    <w:basedOn w:val="DefaultParagraphFont"/>
    <w:uiPriority w:val="99"/>
    <w:semiHidden w:val="1"/>
    <w:unhideWhenUsed w:val="1"/>
    <w:rsid w:val="009E2FE2"/>
    <w:rPr>
      <w:color w:val="2b579a"/>
      <w:shd w:color="auto" w:fill="e6e6e6" w:val="clear"/>
    </w:rPr>
  </w:style>
  <w:style w:type="character" w:styleId="FollowedHyperlink">
    <w:name w:val="FollowedHyperlink"/>
    <w:basedOn w:val="DefaultParagraphFont"/>
    <w:uiPriority w:val="99"/>
    <w:semiHidden w:val="1"/>
    <w:unhideWhenUsed w:val="1"/>
    <w:rsid w:val="00A14334"/>
    <w:rPr>
      <w:color w:val="954f72" w:themeColor="followedHyperlink"/>
      <w:u w:val="single"/>
    </w:rPr>
  </w:style>
  <w:style w:type="character" w:styleId="UnresolvedMention">
    <w:name w:val="Unresolved Mention"/>
    <w:basedOn w:val="DefaultParagraphFont"/>
    <w:uiPriority w:val="99"/>
    <w:semiHidden w:val="1"/>
    <w:unhideWhenUsed w:val="1"/>
    <w:rsid w:val="007A56A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uscis.gov/green-card/other-ways-get-green-card/liberian-refugee-immigration-fairness" TargetMode="External"/><Relationship Id="rId10" Type="http://schemas.openxmlformats.org/officeDocument/2006/relationships/hyperlink" Target="https://www.aclusocal.org/en/cases/bhattarai-v-nielsen"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clusocal.org/en/cases/ramos-v-nielsen"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dhs.gov/news/2021/05/22/secretary-mayorkas-designates-haiti-temporary-protected-status-18-month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rsreports.congress.gov/product/pdf/RS/RS20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kwTKP02lck4usKVg+/bfBvK6w==">AMUW2mU70GjBr/w1oYdD+dJLgZJ5FbDds3nChuPSCT/eEUZ1wetRykq/lVhpxQnHELKHjgPu223AkL7cvGFM0eXSWCeLm6sDaTm3srjH7y4Zi/bjo+5riVk=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2021-06-01T19:02:00Z</dcterms:created>
  <dc:creator>Jenny Hunter</dc:creator>
</cp:coreProperties>
</file>