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D86" w:rsidRDefault="00EB658F">
      <w:bookmarkStart w:id="0" w:name="_GoBack"/>
      <w:bookmarkEnd w:id="0"/>
      <w:r>
        <w:t>June 3, 2018</w:t>
      </w:r>
    </w:p>
    <w:p w:rsidR="008D7D86" w:rsidRDefault="008D7D86"/>
    <w:p w:rsidR="008D7D86" w:rsidRDefault="008D7D86">
      <w:r>
        <w:t>USCIS Dallas Field Office</w:t>
      </w:r>
    </w:p>
    <w:p w:rsidR="008D7D86" w:rsidRDefault="008D7D86">
      <w:r>
        <w:t>6500 Campus Circle Drive East</w:t>
      </w:r>
    </w:p>
    <w:p w:rsidR="008D7D86" w:rsidRDefault="008D7D86">
      <w:r>
        <w:t>Irving, Texas 75063</w:t>
      </w:r>
    </w:p>
    <w:p w:rsidR="008D7D86" w:rsidRDefault="008D7D86"/>
    <w:p w:rsidR="008D7D86" w:rsidRDefault="008D7D86">
      <w:r>
        <w:t>RE:  Request for Waiver or Accommodation of Oath Requirement</w:t>
      </w:r>
    </w:p>
    <w:p w:rsidR="008D7D86" w:rsidRDefault="008D7D86"/>
    <w:p w:rsidR="008D7D86" w:rsidRDefault="008D7D86">
      <w:r>
        <w:t xml:space="preserve">Applicant:  </w:t>
      </w:r>
      <w:proofErr w:type="spellStart"/>
      <w:r w:rsidR="00DE0580">
        <w:t>xxxx</w:t>
      </w:r>
      <w:proofErr w:type="spellEnd"/>
      <w:r>
        <w:tab/>
      </w:r>
      <w:r>
        <w:tab/>
      </w:r>
      <w:r>
        <w:tab/>
      </w:r>
      <w:r>
        <w:tab/>
      </w:r>
      <w:r>
        <w:tab/>
      </w:r>
      <w:r>
        <w:tab/>
      </w:r>
      <w:proofErr w:type="spellStart"/>
      <w:r>
        <w:t>A#</w:t>
      </w:r>
      <w:r w:rsidR="00DE0580">
        <w:t>xxxx</w:t>
      </w:r>
      <w:proofErr w:type="spellEnd"/>
    </w:p>
    <w:p w:rsidR="008D7D86" w:rsidRDefault="008D7D86"/>
    <w:p w:rsidR="008D7D86" w:rsidRDefault="008D7D86">
      <w:r>
        <w:t>Dear Sir or Madam:</w:t>
      </w:r>
    </w:p>
    <w:p w:rsidR="008D7D86" w:rsidRDefault="008D7D86"/>
    <w:p w:rsidR="008D7D86" w:rsidRDefault="008D7D86">
      <w:pPr>
        <w:pStyle w:val="BodyTextIndent"/>
      </w:pPr>
      <w:r>
        <w:t xml:space="preserve">Please waive, or in the alternative allow Ms. </w:t>
      </w:r>
      <w:r w:rsidR="00DE0580">
        <w:t>XXXXXXX</w:t>
      </w:r>
      <w:r>
        <w:t>’s mother to take the oath as her proxy as a result of her physical, developmental and mental impairment as set out in both her N-400 and N-648.</w:t>
      </w:r>
    </w:p>
    <w:p w:rsidR="008D7D86" w:rsidRDefault="008D7D86">
      <w:pPr>
        <w:pStyle w:val="BodyTextIndent"/>
        <w:ind w:firstLine="0"/>
        <w:rPr>
          <w:b/>
          <w:bCs/>
          <w:u w:val="single"/>
        </w:rPr>
      </w:pPr>
      <w:r>
        <w:rPr>
          <w:b/>
          <w:bCs/>
          <w:u w:val="single"/>
        </w:rPr>
        <w:t>I.  Waive the oath requirement</w:t>
      </w:r>
    </w:p>
    <w:p w:rsidR="008D7D86" w:rsidRDefault="008D7D86">
      <w:pPr>
        <w:spacing w:line="480" w:lineRule="auto"/>
        <w:ind w:firstLine="720"/>
      </w:pPr>
      <w:r>
        <w:t xml:space="preserve">Applicant, </w:t>
      </w:r>
      <w:r w:rsidR="00DE0580">
        <w:t>XXXXXXX</w:t>
      </w:r>
      <w:r>
        <w:t xml:space="preserve"> </w:t>
      </w:r>
      <w:proofErr w:type="spellStart"/>
      <w:r w:rsidR="00DE0580">
        <w:t>XXXXXXX</w:t>
      </w:r>
      <w:proofErr w:type="spellEnd"/>
      <w:r>
        <w:t>, is deaf, mute and partially blind and, as a result of this, is unable to understand and effectively communicate her understanding of the meaning of the Oath of Allegiance.  According to the Code of Federal Regulations, the Attorney General “may waive the taking of the oath if in the opinion of the Attorney General the person is unable to understand, or to communicate an understanding of, its meaning because of a physical or developmental disability or mental impairment.”  I.N.A. § 377(a).  Likewise, if the Attorney General “waives the taking of the oath by a person under the preceding sentence, the person shall be considered to have met the requirements of section 316(a)(3) with respect to attachment to the principles of the Constitution and well disposition to the good order and happiness of the United States.” Id.</w:t>
      </w:r>
    </w:p>
    <w:p w:rsidR="008D7D86" w:rsidRDefault="008D7D86">
      <w:pPr>
        <w:spacing w:line="480" w:lineRule="auto"/>
        <w:ind w:firstLine="720"/>
      </w:pPr>
      <w:r>
        <w:lastRenderedPageBreak/>
        <w:t xml:space="preserve">The Office of the General Counsel for the Immigration and Nationality Service (INS) has stated previously that section 504 of the Rehabilitation Act of 1973, stating that “[n]o otherwise qualified individual with a disability in the United States . . . shall, solely by reason of her or his disability, be excluded from the participation in, be denied the benefits of, or be subjected to discrimination under any program or activity receiving Federal financial assistance or under any program or activity conducted by any Executive agency.”  Memo, Cooper, G.C. INS (Mar. 13, 2002), </w:t>
      </w:r>
      <w:r>
        <w:rPr>
          <w:i/>
          <w:iCs/>
        </w:rPr>
        <w:t>citing</w:t>
      </w:r>
      <w:r>
        <w:t xml:space="preserve"> 29 U.S.C. § 794(a) (hereinafter Memo).  The Supreme Court found that this applies to a person who in spite of their handicap, otherwise qualifies for the benefit or program.  Memo, </w:t>
      </w:r>
      <w:r>
        <w:rPr>
          <w:i/>
          <w:iCs/>
        </w:rPr>
        <w:t>supra</w:t>
      </w:r>
      <w:r>
        <w:t xml:space="preserve">, </w:t>
      </w:r>
      <w:r>
        <w:rPr>
          <w:i/>
          <w:iCs/>
        </w:rPr>
        <w:t>citing Southeastern Community College v. Davis</w:t>
      </w:r>
      <w:r>
        <w:t xml:space="preserve">, 442 U.S. 397, 406 (1979).  Furthermore, the Supreme Court found that an accommodation was reasonable if it does not impose financial and administrative burdens on the agency.  </w:t>
      </w:r>
      <w:r>
        <w:rPr>
          <w:i/>
          <w:iCs/>
        </w:rPr>
        <w:t>School Bd. of Nassau County v. Arline</w:t>
      </w:r>
      <w:r>
        <w:t>, 480 U.S. 273, 287 n. 17.</w:t>
      </w:r>
    </w:p>
    <w:p w:rsidR="008D7D86" w:rsidRDefault="008D7D86">
      <w:pPr>
        <w:pStyle w:val="Heading2"/>
      </w:pPr>
      <w:r>
        <w:t>II.  Allow proxy to take modified oath</w:t>
      </w:r>
    </w:p>
    <w:p w:rsidR="008D7D86" w:rsidRDefault="008D7D86">
      <w:pPr>
        <w:spacing w:line="480" w:lineRule="auto"/>
        <w:ind w:firstLine="720"/>
      </w:pPr>
      <w:r>
        <w:t xml:space="preserve">The INS General Counsel found that allowing a proxy to participate in the naturalization interview does not eliminate the requirements of, or fundamentally change the nature of the naturalization process, and therefore, a disabled person who is otherwise qualified for naturalization may participate in this way.  Id.  The INS, and subsequently the USCIS may not use either criteria or methods of administration to prevent or impair an otherwise qualified individual from participating in the naturalization process.  Memo, </w:t>
      </w:r>
      <w:r>
        <w:rPr>
          <w:i/>
          <w:iCs/>
        </w:rPr>
        <w:t>supra</w:t>
      </w:r>
      <w:r>
        <w:t xml:space="preserve">, </w:t>
      </w:r>
      <w:r>
        <w:rPr>
          <w:i/>
          <w:iCs/>
        </w:rPr>
        <w:t>citing</w:t>
      </w:r>
      <w:r>
        <w:t xml:space="preserve"> 8 C.F.R. § 39.130(b)(3).  A person who is “otherwise qualified” is one who is able to meet a program’s requirements if that program was modified to make to make reasonable accommodations for that person.  Memo, </w:t>
      </w:r>
      <w:r>
        <w:rPr>
          <w:i/>
          <w:iCs/>
        </w:rPr>
        <w:t>supra</w:t>
      </w:r>
      <w:r>
        <w:t xml:space="preserve">.  To determine who is otherwise qualified, the only remaining </w:t>
      </w:r>
      <w:r>
        <w:lastRenderedPageBreak/>
        <w:t xml:space="preserve">prerequisites are the continuous residence requirement and the good moral character requirement.  Memo, </w:t>
      </w:r>
      <w:r>
        <w:rPr>
          <w:i/>
          <w:iCs/>
        </w:rPr>
        <w:t>supra</w:t>
      </w:r>
      <w:r>
        <w:t xml:space="preserve">, </w:t>
      </w:r>
      <w:r>
        <w:rPr>
          <w:i/>
          <w:iCs/>
        </w:rPr>
        <w:t xml:space="preserve">citing </w:t>
      </w:r>
      <w:r>
        <w:t>INA § 316, 8 U.S.C. 1427.</w:t>
      </w:r>
    </w:p>
    <w:p w:rsidR="008D7D86" w:rsidRDefault="008D7D86">
      <w:pPr>
        <w:spacing w:line="480" w:lineRule="auto"/>
        <w:ind w:firstLine="720"/>
      </w:pPr>
      <w:r>
        <w:t xml:space="preserve">Ms. </w:t>
      </w:r>
      <w:r w:rsidR="00DE0580">
        <w:t>XXXXXXX</w:t>
      </w:r>
      <w:r>
        <w:t xml:space="preserve"> is a native of Uzbekistan who was diagnosed with </w:t>
      </w:r>
      <w:proofErr w:type="spellStart"/>
      <w:r>
        <w:t>Alport</w:t>
      </w:r>
      <w:proofErr w:type="spellEnd"/>
      <w:r>
        <w:t xml:space="preserve"> Syndrome.  </w:t>
      </w:r>
      <w:proofErr w:type="spellStart"/>
      <w:r>
        <w:t>Alport</w:t>
      </w:r>
      <w:proofErr w:type="spellEnd"/>
      <w:r>
        <w:t xml:space="preserve"> Syndrome is a genetic disease known to cause kidney failure, deafness and visual impairment.  “What is </w:t>
      </w:r>
      <w:proofErr w:type="spellStart"/>
      <w:r>
        <w:t>Alport</w:t>
      </w:r>
      <w:proofErr w:type="spellEnd"/>
      <w:r>
        <w:t xml:space="preserve"> Syndrome?”, </w:t>
      </w:r>
      <w:hyperlink r:id="rId8" w:history="1">
        <w:r>
          <w:rPr>
            <w:rStyle w:val="Hyperlink"/>
          </w:rPr>
          <w:t>www.alportsyndrome.org</w:t>
        </w:r>
      </w:hyperlink>
      <w:r w:rsidR="00EB658F">
        <w:t>, 2010 (last accessed May 14, 2018</w:t>
      </w:r>
      <w:r>
        <w:t xml:space="preserve">) (hereinafter “What”).  Individuals with </w:t>
      </w:r>
      <w:proofErr w:type="spellStart"/>
      <w:r>
        <w:t>Alport</w:t>
      </w:r>
      <w:proofErr w:type="spellEnd"/>
      <w:r>
        <w:t xml:space="preserve"> Syndrome can experience hearing loss at an early age.  “What”, </w:t>
      </w:r>
      <w:r>
        <w:rPr>
          <w:i/>
          <w:iCs/>
        </w:rPr>
        <w:t>supra</w:t>
      </w:r>
      <w:r>
        <w:t>.</w:t>
      </w:r>
    </w:p>
    <w:p w:rsidR="008D7D86" w:rsidRDefault="008D7D86">
      <w:pPr>
        <w:spacing w:line="480" w:lineRule="auto"/>
        <w:ind w:firstLine="720"/>
      </w:pPr>
      <w:r>
        <w:t xml:space="preserve">Ms. </w:t>
      </w:r>
      <w:r w:rsidR="00DE0580">
        <w:t>XXXXXXX</w:t>
      </w:r>
      <w:r>
        <w:t xml:space="preserve"> received little formal education and as a result of her diagnoses with </w:t>
      </w:r>
      <w:proofErr w:type="spellStart"/>
      <w:r>
        <w:t>Alport</w:t>
      </w:r>
      <w:proofErr w:type="spellEnd"/>
      <w:r>
        <w:t xml:space="preserve"> Syndrome, she was never able to learn her native Russian or English, much less Russian or American Sign Language, which vary significantly.  According to her doctor, as evidenced in the N-648, Ms. </w:t>
      </w:r>
      <w:r w:rsidR="00DE0580">
        <w:t>XXXXXXX</w:t>
      </w:r>
      <w:r>
        <w:t xml:space="preserve"> is deaf, mute, and has decreasing vision and is forced to communicate solely through her mother using an informal sign language.  It is within the discretion of immigration officials to waive the oath requirement in cases such as that of Ms. </w:t>
      </w:r>
      <w:r w:rsidR="00DE0580">
        <w:t>XXXXXXX</w:t>
      </w:r>
      <w:r>
        <w:t xml:space="preserve">.  She is unable to understand and communicate her understanding of the oath of allegiance because of her lack of formal education and physical impairments.  Ms. </w:t>
      </w:r>
      <w:r w:rsidR="00DE0580">
        <w:t>XXXXXXX</w:t>
      </w:r>
      <w:r>
        <w:t xml:space="preserve"> is unable to understand concepts contained in the oath because she did not receive sufficient formal education and her mother is unable to communicate the meaning of some of these concepts using their informal sign language.</w:t>
      </w:r>
    </w:p>
    <w:p w:rsidR="008D7D86" w:rsidRDefault="008D7D86">
      <w:pPr>
        <w:spacing w:line="480" w:lineRule="auto"/>
        <w:ind w:firstLine="720"/>
      </w:pPr>
      <w:r>
        <w:t xml:space="preserve">Ms. </w:t>
      </w:r>
      <w:r w:rsidR="00DE0580">
        <w:t>XXXXXXX</w:t>
      </w:r>
      <w:r>
        <w:t xml:space="preserve"> shall not be prevented from enjoying the benefits of naturalization simply because of her inability to communicate when she is otherwise qualified.  To do so would be to exclude her from a benefit for which she otherwise qualifies because of her disability, which would be in direct conflict with the Rehabilitation Act of 1973.  In the alternative, to modify it so that she may assent via her proxy, her mother, imposes no significant burden on the </w:t>
      </w:r>
      <w:r>
        <w:lastRenderedPageBreak/>
        <w:t xml:space="preserve">USCIS, and therefore, it is a reasonable accommodation.  Modifying or waiving the oath requirement does not fundamentally change the naturalization process and therefore, Ms. </w:t>
      </w:r>
      <w:r w:rsidR="00DE0580">
        <w:t>XXXXXXX</w:t>
      </w:r>
      <w:r>
        <w:t xml:space="preserve"> may not be prevented or impaired from participating if she otherwise qualifies to naturalize.  Ms. </w:t>
      </w:r>
      <w:r w:rsidR="00DE0580">
        <w:t>XXXXXXX</w:t>
      </w:r>
      <w:r>
        <w:t xml:space="preserve"> is otherwise qualified to meet the criteria for naturalization if the oath requirement is waived because she has lived in the United States for the requisite five years and has good moral character.  Therefore, since Ms. </w:t>
      </w:r>
      <w:r w:rsidR="00DE0580">
        <w:t>XXXXXXX</w:t>
      </w:r>
      <w:r>
        <w:t xml:space="preserve"> qualifies to naturalize based on her continuous residency and good moral character, she should not be prevented from doing so as a result of her physical impairment.  As such, USCIS should waive the oath requirement, or in the alternative modify the requirement so that her mother may act as her proxy.</w:t>
      </w:r>
    </w:p>
    <w:p w:rsidR="008D7D86" w:rsidRDefault="008D7D86">
      <w:pPr>
        <w:spacing w:line="480" w:lineRule="auto"/>
      </w:pPr>
      <w:r>
        <w:t>Thank you for your time and consideration.</w:t>
      </w:r>
    </w:p>
    <w:p w:rsidR="008D7D86" w:rsidRDefault="008D7D86">
      <w:pPr>
        <w:spacing w:line="480" w:lineRule="auto"/>
      </w:pPr>
      <w:r>
        <w:tab/>
      </w:r>
    </w:p>
    <w:sectPr w:rsidR="008D7D86">
      <w:headerReference w:type="first" r:id="rId9"/>
      <w:footerReference w:type="first" r:id="rId10"/>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D86" w:rsidRDefault="008D7D86">
      <w:r>
        <w:separator/>
      </w:r>
    </w:p>
  </w:endnote>
  <w:endnote w:type="continuationSeparator" w:id="0">
    <w:p w:rsidR="008D7D86" w:rsidRDefault="008D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D86" w:rsidRDefault="00563F53">
    <w:pPr>
      <w:pStyle w:val="Footer"/>
    </w:pPr>
    <w:r>
      <w:rPr>
        <w:noProof/>
        <w:sz w:val="20"/>
      </w:rPr>
      <w:drawing>
        <wp:anchor distT="0" distB="0" distL="114300" distR="114300" simplePos="0" relativeHeight="251658752" behindDoc="1" locked="0" layoutInCell="1" allowOverlap="1">
          <wp:simplePos x="0" y="0"/>
          <wp:positionH relativeFrom="column">
            <wp:posOffset>342900</wp:posOffset>
          </wp:positionH>
          <wp:positionV relativeFrom="paragraph">
            <wp:posOffset>-229870</wp:posOffset>
          </wp:positionV>
          <wp:extent cx="521335" cy="458470"/>
          <wp:effectExtent l="19050" t="0" r="0" b="0"/>
          <wp:wrapTight wrapText="bothSides">
            <wp:wrapPolygon edited="0">
              <wp:start x="-789" y="0"/>
              <wp:lineTo x="-789" y="20643"/>
              <wp:lineTo x="21311" y="20643"/>
              <wp:lineTo x="21311" y="0"/>
              <wp:lineTo x="-789" y="0"/>
            </wp:wrapPolygon>
          </wp:wrapTight>
          <wp:docPr id="15" name="Picture 15" descr="COAlogo_Ac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Alogo_Accr"/>
                  <pic:cNvPicPr>
                    <a:picLocks noChangeAspect="1" noChangeArrowheads="1"/>
                  </pic:cNvPicPr>
                </pic:nvPicPr>
                <pic:blipFill>
                  <a:blip r:embed="rId1"/>
                  <a:srcRect/>
                  <a:stretch>
                    <a:fillRect/>
                  </a:stretch>
                </pic:blipFill>
                <pic:spPr bwMode="auto">
                  <a:xfrm>
                    <a:off x="0" y="0"/>
                    <a:ext cx="521335" cy="45847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60800" behindDoc="1" locked="0" layoutInCell="1" allowOverlap="1">
          <wp:simplePos x="0" y="0"/>
          <wp:positionH relativeFrom="column">
            <wp:posOffset>5029200</wp:posOffset>
          </wp:positionH>
          <wp:positionV relativeFrom="paragraph">
            <wp:posOffset>-167640</wp:posOffset>
          </wp:positionV>
          <wp:extent cx="850265" cy="364490"/>
          <wp:effectExtent l="19050" t="0" r="6985" b="0"/>
          <wp:wrapTight wrapText="bothSides">
            <wp:wrapPolygon edited="0">
              <wp:start x="-484" y="0"/>
              <wp:lineTo x="-484" y="20321"/>
              <wp:lineTo x="21777" y="20321"/>
              <wp:lineTo x="21777" y="0"/>
              <wp:lineTo x="-484" y="0"/>
            </wp:wrapPolygon>
          </wp:wrapTight>
          <wp:docPr id="17" name="Picture 17" descr="UnitedWay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itedWayLogoBW"/>
                  <pic:cNvPicPr>
                    <a:picLocks noChangeAspect="1" noChangeArrowheads="1"/>
                  </pic:cNvPicPr>
                </pic:nvPicPr>
                <pic:blipFill>
                  <a:blip r:embed="rId2"/>
                  <a:srcRect/>
                  <a:stretch>
                    <a:fillRect/>
                  </a:stretch>
                </pic:blipFill>
                <pic:spPr bwMode="auto">
                  <a:xfrm>
                    <a:off x="0" y="0"/>
                    <a:ext cx="850265" cy="364490"/>
                  </a:xfrm>
                  <a:prstGeom prst="rect">
                    <a:avLst/>
                  </a:prstGeom>
                  <a:noFill/>
                  <a:ln w="9525">
                    <a:noFill/>
                    <a:miter lim="800000"/>
                    <a:headEnd/>
                    <a:tailEnd/>
                  </a:ln>
                </pic:spPr>
              </pic:pic>
            </a:graphicData>
          </a:graphic>
        </wp:anchor>
      </w:drawing>
    </w:r>
    <w:r w:rsidR="0016154B">
      <w:rPr>
        <w:noProof/>
        <w:sz w:val="20"/>
      </w:rPr>
      <w:pict>
        <v:shapetype id="_x0000_t202" coordsize="21600,21600" o:spt="202" path="m,l,21600r21600,l21600,xe">
          <v:stroke joinstyle="miter"/>
          <v:path gradientshapeok="t" o:connecttype="rect"/>
        </v:shapetype>
        <v:shape id="_x0000_s2064" type="#_x0000_t202" style="position:absolute;margin-left:90pt;margin-top:-22.2pt;width:4in;height:45pt;z-index:251659776;mso-position-horizontal-relative:text;mso-position-vertical-relative:text" stroked="f">
          <v:textbox style="mso-next-textbox:#_x0000_s2064">
            <w:txbxContent>
              <w:p w:rsidR="008D7D86" w:rsidRDefault="008D7D86">
                <w:pPr>
                  <w:jc w:val="center"/>
                  <w:rPr>
                    <w:rFonts w:ascii="Garamond" w:hAnsi="Garamond"/>
                    <w:i/>
                    <w:smallCaps/>
                    <w:sz w:val="16"/>
                    <w:szCs w:val="16"/>
                    <w:u w:val="single"/>
                  </w:rPr>
                </w:pPr>
                <w:r>
                  <w:rPr>
                    <w:rFonts w:ascii="Garamond" w:hAnsi="Garamond"/>
                    <w:i/>
                    <w:smallCaps/>
                    <w:sz w:val="16"/>
                    <w:szCs w:val="16"/>
                    <w:u w:val="single"/>
                  </w:rPr>
                  <w:t>A Family of Human Services Working Together To Strengthen Families</w:t>
                </w:r>
              </w:p>
              <w:p w:rsidR="008D7D86" w:rsidRDefault="008D7D86">
                <w:pPr>
                  <w:jc w:val="center"/>
                  <w:rPr>
                    <w:rFonts w:ascii="Garamond" w:hAnsi="Garamond"/>
                    <w:i/>
                    <w:sz w:val="16"/>
                    <w:szCs w:val="16"/>
                  </w:rPr>
                </w:pPr>
                <w:r>
                  <w:rPr>
                    <w:rFonts w:ascii="Garamond" w:hAnsi="Garamond"/>
                    <w:i/>
                    <w:sz w:val="16"/>
                    <w:szCs w:val="16"/>
                  </w:rPr>
                  <w:t xml:space="preserve">Professional Counseling and Children’s Services </w:t>
                </w:r>
                <w:r>
                  <w:rPr>
                    <w:rFonts w:ascii="Garamond" w:hAnsi="Garamond"/>
                    <w:i/>
                    <w:sz w:val="12"/>
                    <w:szCs w:val="12"/>
                  </w:rPr>
                  <w:t>●</w:t>
                </w:r>
                <w:r>
                  <w:rPr>
                    <w:rFonts w:ascii="Garamond" w:hAnsi="Garamond"/>
                    <w:i/>
                    <w:sz w:val="16"/>
                    <w:szCs w:val="16"/>
                  </w:rPr>
                  <w:t xml:space="preserve"> Immigration and Legal Services</w:t>
                </w:r>
              </w:p>
              <w:p w:rsidR="008D7D86" w:rsidRDefault="008D7D86">
                <w:pPr>
                  <w:jc w:val="center"/>
                  <w:rPr>
                    <w:rFonts w:ascii="Garamond" w:hAnsi="Garamond"/>
                    <w:i/>
                    <w:sz w:val="16"/>
                    <w:szCs w:val="16"/>
                  </w:rPr>
                </w:pPr>
                <w:r>
                  <w:rPr>
                    <w:rFonts w:ascii="Garamond" w:hAnsi="Garamond"/>
                    <w:i/>
                    <w:sz w:val="16"/>
                    <w:szCs w:val="16"/>
                  </w:rPr>
                  <w:t xml:space="preserve">Refugee and Empowerment Services </w:t>
                </w:r>
                <w:r>
                  <w:rPr>
                    <w:rFonts w:ascii="Garamond" w:hAnsi="Garamond"/>
                    <w:i/>
                    <w:sz w:val="12"/>
                    <w:szCs w:val="12"/>
                  </w:rPr>
                  <w:t>●</w:t>
                </w:r>
                <w:r>
                  <w:rPr>
                    <w:rFonts w:ascii="Garamond" w:hAnsi="Garamond"/>
                    <w:i/>
                    <w:sz w:val="16"/>
                    <w:szCs w:val="16"/>
                  </w:rPr>
                  <w:t xml:space="preserve"> Elderly and Family Assistance Services</w:t>
                </w:r>
              </w:p>
              <w:p w:rsidR="008D7D86" w:rsidRDefault="008D7D86">
                <w:pPr>
                  <w:jc w:val="center"/>
                  <w:rPr>
                    <w:rFonts w:ascii="Garamond" w:hAnsi="Garamond"/>
                    <w:i/>
                    <w:sz w:val="16"/>
                    <w:szCs w:val="16"/>
                  </w:rPr>
                </w:pPr>
                <w:r>
                  <w:rPr>
                    <w:rFonts w:ascii="Garamond" w:hAnsi="Garamond"/>
                    <w:i/>
                    <w:sz w:val="16"/>
                    <w:szCs w:val="16"/>
                  </w:rPr>
                  <w:t>Website: catholiccharitiesdallas.org</w:t>
                </w:r>
              </w:p>
              <w:p w:rsidR="008D7D86" w:rsidRDefault="008D7D86">
                <w:pPr>
                  <w:jc w:val="center"/>
                  <w:rPr>
                    <w:i/>
                    <w:smallCaps/>
                    <w:sz w:val="16"/>
                    <w:szCs w:val="16"/>
                    <w:u w:val="single"/>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D86" w:rsidRDefault="008D7D86">
      <w:r>
        <w:separator/>
      </w:r>
    </w:p>
  </w:footnote>
  <w:footnote w:type="continuationSeparator" w:id="0">
    <w:p w:rsidR="008D7D86" w:rsidRDefault="008D7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D86" w:rsidRDefault="008D7D86">
    <w:pPr>
      <w:pStyle w:val="Header"/>
    </w:pPr>
  </w:p>
  <w:p w:rsidR="008D7D86" w:rsidRDefault="008D7D86">
    <w:pPr>
      <w:pStyle w:val="Header"/>
    </w:pPr>
  </w:p>
  <w:p w:rsidR="008D7D86" w:rsidRDefault="008D7D86">
    <w:pPr>
      <w:pStyle w:val="Header"/>
    </w:pPr>
  </w:p>
  <w:p w:rsidR="008D7D86" w:rsidRDefault="008D7D86">
    <w:pPr>
      <w:pStyle w:val="Header"/>
    </w:pPr>
  </w:p>
  <w:p w:rsidR="008D7D86" w:rsidRDefault="008D7D86">
    <w:pPr>
      <w:pStyle w:val="Header"/>
    </w:pPr>
  </w:p>
  <w:p w:rsidR="008D7D86" w:rsidRDefault="008D7D86">
    <w:pPr>
      <w:pStyle w:val="Header"/>
    </w:pPr>
  </w:p>
  <w:p w:rsidR="008D7D86" w:rsidRDefault="008D7D86">
    <w:pPr>
      <w:pStyle w:val="Header"/>
    </w:pPr>
  </w:p>
  <w:p w:rsidR="008D7D86" w:rsidRDefault="008D7D86">
    <w:pPr>
      <w:pStyle w:val="Header"/>
    </w:pPr>
  </w:p>
  <w:p w:rsidR="008D7D86" w:rsidRDefault="008D7D86">
    <w:pPr>
      <w:pStyle w:val="Header"/>
    </w:pPr>
  </w:p>
  <w:p w:rsidR="008D7D86" w:rsidRDefault="0016154B">
    <w:pPr>
      <w:pStyle w:val="Header"/>
    </w:pPr>
    <w:r>
      <w:rPr>
        <w:noProof/>
        <w:sz w:val="20"/>
      </w:rPr>
      <w:pict>
        <v:shapetype id="_x0000_t202" coordsize="21600,21600" o:spt="202" path="m,l,21600r21600,l21600,xe">
          <v:stroke joinstyle="miter"/>
          <v:path gradientshapeok="t" o:connecttype="rect"/>
        </v:shapetype>
        <v:shape id="_x0000_s2054" type="#_x0000_t202" style="position:absolute;margin-left:36pt;margin-top:-97.2pt;width:171pt;height:54pt;z-index:-251660800" stroked="f">
          <v:textbox style="mso-next-textbox:#_x0000_s2054">
            <w:txbxContent>
              <w:p w:rsidR="008D7D86" w:rsidRDefault="008D7D86">
                <w:pPr>
                  <w:rPr>
                    <w:rFonts w:ascii="Garamond" w:hAnsi="Garamond"/>
                    <w:b/>
                    <w:smallCaps/>
                    <w:sz w:val="28"/>
                    <w:szCs w:val="28"/>
                  </w:rPr>
                </w:pPr>
                <w:r>
                  <w:rPr>
                    <w:rFonts w:ascii="Garamond" w:hAnsi="Garamond"/>
                    <w:b/>
                    <w:smallCaps/>
                    <w:sz w:val="28"/>
                    <w:szCs w:val="28"/>
                  </w:rPr>
                  <w:t xml:space="preserve">Catholic </w:t>
                </w:r>
              </w:p>
              <w:p w:rsidR="008D7D86" w:rsidRDefault="008D7D86">
                <w:pPr>
                  <w:rPr>
                    <w:rFonts w:ascii="Garamond" w:hAnsi="Garamond"/>
                    <w:b/>
                    <w:smallCaps/>
                    <w:sz w:val="28"/>
                    <w:szCs w:val="28"/>
                  </w:rPr>
                </w:pPr>
                <w:r>
                  <w:rPr>
                    <w:rFonts w:ascii="Garamond" w:hAnsi="Garamond"/>
                    <w:b/>
                    <w:smallCaps/>
                    <w:sz w:val="28"/>
                    <w:szCs w:val="28"/>
                  </w:rPr>
                  <w:t>Charities</w:t>
                </w:r>
              </w:p>
              <w:p w:rsidR="008D7D86" w:rsidRDefault="008D7D86">
                <w:pPr>
                  <w:rPr>
                    <w:rFonts w:ascii="Garamond" w:hAnsi="Garamond"/>
                    <w:b/>
                    <w:smallCaps/>
                    <w:sz w:val="28"/>
                    <w:szCs w:val="28"/>
                  </w:rPr>
                </w:pPr>
                <w:r>
                  <w:rPr>
                    <w:rFonts w:ascii="Garamond" w:hAnsi="Garamond"/>
                    <w:b/>
                    <w:smallCaps/>
                    <w:sz w:val="28"/>
                    <w:szCs w:val="28"/>
                  </w:rPr>
                  <w:t>of Dallas, Inc.</w:t>
                </w:r>
              </w:p>
            </w:txbxContent>
          </v:textbox>
        </v:shape>
      </w:pict>
    </w:r>
    <w:r w:rsidR="00563F53">
      <w:rPr>
        <w:noProof/>
        <w:sz w:val="20"/>
      </w:rPr>
      <w:drawing>
        <wp:anchor distT="0" distB="0" distL="114300" distR="114300" simplePos="0" relativeHeight="251654656" behindDoc="1" locked="0" layoutInCell="1" allowOverlap="1">
          <wp:simplePos x="0" y="0"/>
          <wp:positionH relativeFrom="column">
            <wp:posOffset>-114300</wp:posOffset>
          </wp:positionH>
          <wp:positionV relativeFrom="paragraph">
            <wp:posOffset>-1577340</wp:posOffset>
          </wp:positionV>
          <wp:extent cx="567055" cy="1145540"/>
          <wp:effectExtent l="19050" t="0" r="4445" b="0"/>
          <wp:wrapTight wrapText="bothSides">
            <wp:wrapPolygon edited="0">
              <wp:start x="-726" y="0"/>
              <wp:lineTo x="-726" y="21193"/>
              <wp:lineTo x="21769" y="21193"/>
              <wp:lineTo x="21769" y="0"/>
              <wp:lineTo x="-726" y="0"/>
            </wp:wrapPolygon>
          </wp:wrapTight>
          <wp:docPr id="5" name="Picture 5" descr="Blac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ck-Logo-1"/>
                  <pic:cNvPicPr>
                    <a:picLocks noChangeAspect="1" noChangeArrowheads="1"/>
                  </pic:cNvPicPr>
                </pic:nvPicPr>
                <pic:blipFill>
                  <a:blip r:embed="rId1"/>
                  <a:srcRect/>
                  <a:stretch>
                    <a:fillRect/>
                  </a:stretch>
                </pic:blipFill>
                <pic:spPr bwMode="auto">
                  <a:xfrm>
                    <a:off x="0" y="0"/>
                    <a:ext cx="567055" cy="1145540"/>
                  </a:xfrm>
                  <a:prstGeom prst="rect">
                    <a:avLst/>
                  </a:prstGeom>
                  <a:noFill/>
                  <a:ln w="9525">
                    <a:noFill/>
                    <a:miter lim="800000"/>
                    <a:headEnd/>
                    <a:tailEnd/>
                  </a:ln>
                </pic:spPr>
              </pic:pic>
            </a:graphicData>
          </a:graphic>
        </wp:anchor>
      </w:drawing>
    </w:r>
    <w:r>
      <w:rPr>
        <w:noProof/>
        <w:sz w:val="20"/>
      </w:rPr>
      <w:pict>
        <v:line id="_x0000_s2056" style="position:absolute;z-index:251657728;mso-position-horizontal-relative:text;mso-position-vertical-relative:text" from="-27pt,1.8pt" to="486pt,1.8pt" strokeweight="1pt"/>
      </w:pict>
    </w:r>
    <w:r>
      <w:rPr>
        <w:noProof/>
        <w:sz w:val="20"/>
      </w:rPr>
      <w:pict>
        <v:shape id="_x0000_s2055" type="#_x0000_t202" style="position:absolute;margin-left:-27pt;margin-top:-34.2pt;width:549pt;height:45pt;z-index:251656704;mso-position-horizontal-relative:text;mso-position-vertical-relative:text" stroked="f">
          <v:textbox style="mso-next-textbox:#_x0000_s2055">
            <w:txbxContent>
              <w:p w:rsidR="008D7D86" w:rsidRDefault="008D7D86">
                <w:pPr>
                  <w:rPr>
                    <w:rFonts w:ascii="Garamond" w:hAnsi="Garamond"/>
                    <w:b/>
                    <w:smallCaps/>
                    <w:sz w:val="28"/>
                    <w:szCs w:val="28"/>
                  </w:rPr>
                </w:pPr>
                <w:r>
                  <w:rPr>
                    <w:rFonts w:ascii="Garamond" w:hAnsi="Garamond"/>
                    <w:b/>
                    <w:smallCaps/>
                    <w:sz w:val="28"/>
                    <w:szCs w:val="28"/>
                  </w:rPr>
                  <w:t>Immigration &amp; Legal Services Division</w:t>
                </w:r>
              </w:p>
              <w:p w:rsidR="008D7D86" w:rsidRDefault="008D7D86">
                <w:pPr>
                  <w:rPr>
                    <w:rFonts w:ascii="Garamond" w:hAnsi="Garamond"/>
                    <w:i/>
                  </w:rPr>
                </w:pPr>
                <w:r>
                  <w:rPr>
                    <w:rFonts w:ascii="Garamond" w:hAnsi="Garamond"/>
                    <w:i/>
                  </w:rPr>
                  <w:t xml:space="preserve">9461 LBJ Freeway </w:t>
                </w:r>
                <w:r>
                  <w:rPr>
                    <w:rFonts w:ascii="Garamond" w:hAnsi="Garamond"/>
                    <w:i/>
                    <w:sz w:val="16"/>
                    <w:szCs w:val="16"/>
                  </w:rPr>
                  <w:t>●</w:t>
                </w:r>
                <w:r>
                  <w:rPr>
                    <w:rFonts w:ascii="Garamond" w:hAnsi="Garamond"/>
                    <w:i/>
                  </w:rPr>
                  <w:t xml:space="preserve"> Suite 100 </w:t>
                </w:r>
                <w:r>
                  <w:rPr>
                    <w:rFonts w:ascii="Garamond" w:hAnsi="Garamond"/>
                    <w:i/>
                    <w:sz w:val="16"/>
                    <w:szCs w:val="16"/>
                  </w:rPr>
                  <w:t>●</w:t>
                </w:r>
                <w:r>
                  <w:rPr>
                    <w:rFonts w:ascii="Garamond" w:hAnsi="Garamond"/>
                    <w:i/>
                  </w:rPr>
                  <w:t xml:space="preserve"> Dallas, Texas 75243 </w:t>
                </w:r>
                <w:r>
                  <w:rPr>
                    <w:rFonts w:ascii="Garamond" w:hAnsi="Garamond"/>
                    <w:i/>
                    <w:sz w:val="16"/>
                    <w:szCs w:val="16"/>
                  </w:rPr>
                  <w:t>●</w:t>
                </w:r>
                <w:r>
                  <w:rPr>
                    <w:rFonts w:ascii="Garamond" w:hAnsi="Garamond"/>
                    <w:i/>
                  </w:rPr>
                  <w:t xml:space="preserve"> 214-634-7182 phone </w:t>
                </w:r>
                <w:r>
                  <w:rPr>
                    <w:rFonts w:ascii="Garamond" w:hAnsi="Garamond"/>
                    <w:i/>
                    <w:sz w:val="16"/>
                    <w:szCs w:val="16"/>
                  </w:rPr>
                  <w:t>●</w:t>
                </w:r>
                <w:r>
                  <w:rPr>
                    <w:rFonts w:ascii="Garamond" w:hAnsi="Garamond"/>
                    <w:i/>
                  </w:rPr>
                  <w:t xml:space="preserve"> 214-634-2531 fax</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514B"/>
    <w:multiLevelType w:val="hybridMultilevel"/>
    <w:tmpl w:val="EED28856"/>
    <w:lvl w:ilvl="0" w:tplc="04090007">
      <w:start w:val="1"/>
      <w:numFmt w:val="bullet"/>
      <w:lvlText w:val=""/>
      <w:lvlJc w:val="left"/>
      <w:pPr>
        <w:tabs>
          <w:tab w:val="num" w:pos="780"/>
        </w:tabs>
        <w:ind w:left="78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B9268BB"/>
    <w:multiLevelType w:val="hybridMultilevel"/>
    <w:tmpl w:val="406A775C"/>
    <w:lvl w:ilvl="0" w:tplc="318C20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780342"/>
    <w:multiLevelType w:val="hybridMultilevel"/>
    <w:tmpl w:val="3FECBDA8"/>
    <w:lvl w:ilvl="0" w:tplc="19E6E12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EB704E"/>
    <w:multiLevelType w:val="hybridMultilevel"/>
    <w:tmpl w:val="EED28856"/>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E7B4F96"/>
    <w:multiLevelType w:val="hybridMultilevel"/>
    <w:tmpl w:val="EED28856"/>
    <w:lvl w:ilvl="0" w:tplc="04090005">
      <w:start w:val="1"/>
      <w:numFmt w:val="bullet"/>
      <w:lvlText w:val=""/>
      <w:lvlJc w:val="left"/>
      <w:pPr>
        <w:tabs>
          <w:tab w:val="num" w:pos="780"/>
        </w:tabs>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EF9070C"/>
    <w:multiLevelType w:val="hybridMultilevel"/>
    <w:tmpl w:val="EED28856"/>
    <w:lvl w:ilvl="0" w:tplc="04090005">
      <w:start w:val="1"/>
      <w:numFmt w:val="bullet"/>
      <w:lvlText w:val=""/>
      <w:lvlJc w:val="left"/>
      <w:pPr>
        <w:tabs>
          <w:tab w:val="num" w:pos="780"/>
        </w:tabs>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A1F5B91"/>
    <w:multiLevelType w:val="hybridMultilevel"/>
    <w:tmpl w:val="F38AB52C"/>
    <w:lvl w:ilvl="0" w:tplc="4030C368">
      <w:numFmt w:val="bullet"/>
      <w:lvlText w:val=""/>
      <w:lvlJc w:val="left"/>
      <w:pPr>
        <w:tabs>
          <w:tab w:val="num" w:pos="2340"/>
        </w:tabs>
        <w:ind w:left="2340" w:hanging="360"/>
      </w:pPr>
      <w:rPr>
        <w:rFonts w:ascii="Symbol" w:eastAsia="Times New Roman" w:hAnsi="Symbol" w:cs="Times New Roman"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7">
    <w:nsid w:val="558F0B48"/>
    <w:multiLevelType w:val="hybridMultilevel"/>
    <w:tmpl w:val="F5A6768A"/>
    <w:lvl w:ilvl="0" w:tplc="A5ECC0C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D7E38C9"/>
    <w:multiLevelType w:val="hybridMultilevel"/>
    <w:tmpl w:val="72826B7E"/>
    <w:lvl w:ilvl="0" w:tplc="039CF012">
      <w:start w:val="16"/>
      <w:numFmt w:val="bullet"/>
      <w:lvlText w:val=""/>
      <w:lvlJc w:val="left"/>
      <w:pPr>
        <w:tabs>
          <w:tab w:val="num" w:pos="2190"/>
        </w:tabs>
        <w:ind w:left="2190" w:hanging="360"/>
      </w:pPr>
      <w:rPr>
        <w:rFonts w:ascii="Symbol" w:eastAsia="Times New Roman" w:hAnsi="Symbol" w:cs="Times New Roman" w:hint="default"/>
      </w:rPr>
    </w:lvl>
    <w:lvl w:ilvl="1" w:tplc="04090003">
      <w:start w:val="1"/>
      <w:numFmt w:val="bullet"/>
      <w:lvlText w:val="o"/>
      <w:lvlJc w:val="left"/>
      <w:pPr>
        <w:tabs>
          <w:tab w:val="num" w:pos="2910"/>
        </w:tabs>
        <w:ind w:left="291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3EE3F36"/>
    <w:multiLevelType w:val="hybridMultilevel"/>
    <w:tmpl w:val="EED28856"/>
    <w:lvl w:ilvl="0" w:tplc="04090005">
      <w:start w:val="1"/>
      <w:numFmt w:val="bullet"/>
      <w:lvlText w:val=""/>
      <w:lvlJc w:val="left"/>
      <w:pPr>
        <w:tabs>
          <w:tab w:val="num" w:pos="780"/>
        </w:tabs>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7"/>
  </w:num>
  <w:num w:numId="3">
    <w:abstractNumId w:val="2"/>
  </w:num>
  <w:num w:numId="4">
    <w:abstractNumId w:val="1"/>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0580"/>
    <w:rsid w:val="0016154B"/>
    <w:rsid w:val="00563F53"/>
    <w:rsid w:val="008D7D86"/>
    <w:rsid w:val="00DE0580"/>
    <w:rsid w:val="00EB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Narrow" w:hAnsi="Arial Narrow"/>
      <w:b/>
      <w:bCs/>
      <w:sz w:val="28"/>
      <w:lang w:val="es-ES"/>
    </w:rPr>
  </w:style>
  <w:style w:type="paragraph" w:styleId="Heading2">
    <w:name w:val="heading 2"/>
    <w:basedOn w:val="Normal"/>
    <w:next w:val="Normal"/>
    <w:qFormat/>
    <w:pPr>
      <w:keepNext/>
      <w:spacing w:line="480" w:lineRule="auto"/>
      <w:outlineLvl w:val="1"/>
    </w:pPr>
    <w:rPr>
      <w:b/>
      <w:bCs/>
      <w:u w:val="single"/>
    </w:rPr>
  </w:style>
  <w:style w:type="paragraph" w:styleId="Heading3">
    <w:name w:val="heading 3"/>
    <w:basedOn w:val="Normal"/>
    <w:next w:val="Normal"/>
    <w:qFormat/>
    <w:pPr>
      <w:keepNext/>
      <w:widowControl w:val="0"/>
      <w:autoSpaceDE w:val="0"/>
      <w:autoSpaceDN w:val="0"/>
      <w:adjustRightInd w:val="0"/>
      <w:outlineLvl w:val="2"/>
    </w:p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b/>
      <w:bCs/>
      <w:sz w:val="20"/>
    </w:rPr>
  </w:style>
  <w:style w:type="paragraph" w:styleId="Heading8">
    <w:name w:val="heading 8"/>
    <w:basedOn w:val="Normal"/>
    <w:next w:val="Normal"/>
    <w:qFormat/>
    <w:pPr>
      <w:keepNext/>
      <w:widowControl w:val="0"/>
      <w:autoSpaceDE w:val="0"/>
      <w:autoSpaceDN w:val="0"/>
      <w:adjustRightInd w:val="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widowControl w:val="0"/>
      <w:autoSpaceDE w:val="0"/>
      <w:autoSpaceDN w:val="0"/>
      <w:adjustRightInd w:val="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portsyndrom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nna.ICS-CCDALLAS\Local%20Settings\Temporary%20Internet%20Files\OLK32\IL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ILS Letterhead.dot</Template>
  <TotalTime>0</TotalTime>
  <Pages>4</Pages>
  <Words>902</Words>
  <Characters>5148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Sarah Burns, Marketing and Communications Associate (214) 520-6590 ext</vt:lpstr>
    </vt:vector>
  </TitlesOfParts>
  <Company>Catholic Charities</Company>
  <LinksUpToDate>false</LinksUpToDate>
  <CharactersWithSpaces>6038</CharactersWithSpaces>
  <SharedDoc>false</SharedDoc>
  <HLinks>
    <vt:vector size="6" baseType="variant">
      <vt:variant>
        <vt:i4>3735608</vt:i4>
      </vt:variant>
      <vt:variant>
        <vt:i4>0</vt:i4>
      </vt:variant>
      <vt:variant>
        <vt:i4>0</vt:i4>
      </vt:variant>
      <vt:variant>
        <vt:i4>5</vt:i4>
      </vt:variant>
      <vt:variant>
        <vt:lpwstr>http://www.alportsyndrome.org/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Sarah Burns, Marketing and Communications Associate (214) 520-6590 ext</dc:title>
  <dc:creator>Vanna</dc:creator>
  <cp:lastModifiedBy>Susan Schreiber</cp:lastModifiedBy>
  <cp:revision>2</cp:revision>
  <cp:lastPrinted>2011-11-02T22:43:00Z</cp:lastPrinted>
  <dcterms:created xsi:type="dcterms:W3CDTF">2018-08-07T01:08:00Z</dcterms:created>
  <dcterms:modified xsi:type="dcterms:W3CDTF">2018-08-07T01:08:00Z</dcterms:modified>
</cp:coreProperties>
</file>